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FDE69B">
      <w:pPr>
        <w:jc w:val="center"/>
        <w:rPr>
          <w:rFonts w:hint="eastAsia" w:ascii="宋体" w:hAnsi="宋体" w:eastAsia="宋体" w:cs="宋体"/>
          <w:b/>
          <w:sz w:val="44"/>
          <w:szCs w:val="44"/>
          <w:lang w:eastAsia="zh-CN"/>
        </w:rPr>
      </w:pPr>
      <w:r>
        <w:rPr>
          <w:rFonts w:hint="eastAsia" w:ascii="宋体" w:hAnsi="宋体" w:eastAsia="宋体" w:cs="宋体"/>
          <w:b/>
          <w:sz w:val="44"/>
          <w:szCs w:val="44"/>
        </w:rPr>
        <w:t>采购合同</w:t>
      </w:r>
      <w:r>
        <w:rPr>
          <w:rFonts w:hint="eastAsia" w:ascii="宋体" w:hAnsi="宋体" w:cs="宋体"/>
          <w:b/>
          <w:sz w:val="44"/>
          <w:szCs w:val="44"/>
          <w:highlight w:val="yellow"/>
          <w:lang w:eastAsia="zh-CN"/>
        </w:rPr>
        <w:t>（</w:t>
      </w:r>
      <w:r>
        <w:rPr>
          <w:rFonts w:hint="eastAsia" w:ascii="宋体" w:hAnsi="宋体" w:cs="宋体"/>
          <w:b/>
          <w:sz w:val="44"/>
          <w:szCs w:val="44"/>
          <w:highlight w:val="yellow"/>
          <w:lang w:val="en-US" w:eastAsia="zh-CN"/>
        </w:rPr>
        <w:t>模版一</w:t>
      </w:r>
      <w:r>
        <w:rPr>
          <w:rFonts w:hint="eastAsia" w:ascii="宋体" w:hAnsi="宋体" w:cs="宋体"/>
          <w:b/>
          <w:sz w:val="44"/>
          <w:szCs w:val="44"/>
          <w:highlight w:val="yellow"/>
          <w:lang w:eastAsia="zh-CN"/>
        </w:rPr>
        <w:t>）</w:t>
      </w:r>
    </w:p>
    <w:p w14:paraId="365480D6">
      <w:pPr>
        <w:pStyle w:val="2"/>
        <w:rPr>
          <w:rFonts w:hint="default" w:eastAsia="宋体" w:cs="宋体"/>
          <w:b/>
          <w:sz w:val="28"/>
          <w:szCs w:val="28"/>
          <w:lang w:val="en-US" w:eastAsia="zh-CN"/>
        </w:rPr>
      </w:pPr>
      <w:r>
        <w:rPr>
          <w:rFonts w:hint="eastAsia" w:cs="宋体"/>
          <w:b/>
          <w:sz w:val="28"/>
          <w:szCs w:val="28"/>
          <w:lang w:val="en-US" w:eastAsia="zh-CN"/>
        </w:rPr>
        <w:t xml:space="preserve">                                    </w:t>
      </w:r>
      <w:r>
        <w:rPr>
          <w:rFonts w:hint="eastAsia" w:ascii="宋体" w:hAnsi="宋体" w:eastAsia="宋体" w:cs="宋体"/>
          <w:b/>
          <w:sz w:val="24"/>
          <w:szCs w:val="24"/>
          <w:lang w:val="en-US" w:eastAsia="zh-CN"/>
        </w:rPr>
        <w:t xml:space="preserve"> 编号：</w:t>
      </w:r>
    </w:p>
    <w:p w14:paraId="6AC81598">
      <w:pPr>
        <w:spacing w:line="360" w:lineRule="auto"/>
        <w:rPr>
          <w:rFonts w:hint="eastAsia" w:ascii="宋体" w:hAnsi="宋体" w:cs="宋体"/>
          <w:sz w:val="24"/>
          <w:szCs w:val="24"/>
          <w:u w:val="single"/>
          <w:lang w:val="en-US" w:eastAsia="zh-CN"/>
        </w:rPr>
      </w:pPr>
      <w:r>
        <w:rPr>
          <w:rFonts w:hint="eastAsia" w:ascii="宋体" w:hAnsi="宋体" w:eastAsia="宋体" w:cs="宋体"/>
          <w:sz w:val="24"/>
          <w:szCs w:val="24"/>
        </w:rPr>
        <w:t>甲方：</w:t>
      </w:r>
      <w:r>
        <w:rPr>
          <w:rFonts w:hint="eastAsia" w:ascii="宋体" w:hAnsi="宋体" w:eastAsia="宋体" w:cs="宋体"/>
          <w:sz w:val="24"/>
          <w:szCs w:val="24"/>
          <w:u w:val="single"/>
        </w:rPr>
        <w:t>桐城市城乡供水集团有限公司（安徽安同建设有限公司）</w:t>
      </w:r>
      <w:bookmarkStart w:id="0" w:name="_GoBack"/>
      <w:bookmarkEnd w:id="0"/>
      <w:r>
        <w:rPr>
          <w:rFonts w:hint="eastAsia" w:ascii="宋体" w:hAnsi="宋体" w:cs="宋体"/>
          <w:sz w:val="24"/>
          <w:szCs w:val="24"/>
          <w:u w:val="single"/>
          <w:lang w:val="en-US" w:eastAsia="zh-CN"/>
        </w:rPr>
        <w:t>（以下简称甲方）</w:t>
      </w:r>
    </w:p>
    <w:p w14:paraId="2A648CD1">
      <w:pPr>
        <w:spacing w:line="360" w:lineRule="auto"/>
        <w:rPr>
          <w:rFonts w:hint="eastAsia" w:ascii="宋体" w:hAnsi="宋体" w:eastAsia="宋体" w:cs="宋体"/>
          <w:sz w:val="24"/>
          <w:szCs w:val="24"/>
          <w:lang w:val="en-US" w:eastAsia="zh-CN"/>
        </w:rPr>
      </w:pPr>
      <w:r>
        <w:rPr>
          <w:rFonts w:hint="eastAsia" w:ascii="宋体" w:hAnsi="宋体" w:cs="宋体"/>
          <w:sz w:val="24"/>
          <w:szCs w:val="24"/>
          <w:u w:val="single"/>
          <w:lang w:val="en-US" w:eastAsia="zh-CN"/>
        </w:rPr>
        <w:t xml:space="preserve">乙方：                              </w:t>
      </w:r>
      <w:r>
        <w:rPr>
          <w:rFonts w:hint="eastAsia" w:ascii="宋体" w:hAnsi="宋体" w:eastAsia="宋体" w:cs="宋体"/>
          <w:sz w:val="24"/>
          <w:szCs w:val="24"/>
          <w:u w:val="single"/>
          <w:lang w:val="en-US" w:eastAsia="zh-CN"/>
        </w:rPr>
        <w:t>(以下简称乙方）</w:t>
      </w:r>
    </w:p>
    <w:p w14:paraId="2FA2AE94">
      <w:pPr>
        <w:pStyle w:val="2"/>
        <w:rPr>
          <w:rFonts w:hint="eastAsia" w:eastAsia="宋体"/>
          <w:lang w:val="en-US" w:eastAsia="zh-CN"/>
        </w:rPr>
      </w:pPr>
      <w:r>
        <w:rPr>
          <w:rFonts w:hint="eastAsia"/>
          <w:b/>
          <w:bCs/>
          <w:lang w:val="en-US" w:eastAsia="zh-CN"/>
        </w:rPr>
        <w:t>项目名称：</w:t>
      </w:r>
    </w:p>
    <w:p w14:paraId="0520BC3A">
      <w:pPr>
        <w:spacing w:line="360" w:lineRule="auto"/>
        <w:rPr>
          <w:sz w:val="24"/>
        </w:rPr>
      </w:pPr>
      <w:r>
        <w:rPr>
          <w:rFonts w:hint="eastAsia"/>
          <w:sz w:val="24"/>
        </w:rPr>
        <w:t>签订地点：</w:t>
      </w:r>
      <w:r>
        <w:rPr>
          <w:rFonts w:hint="eastAsia" w:ascii="宋体" w:hAnsi="宋体" w:cs="宋体"/>
          <w:sz w:val="24"/>
          <w:szCs w:val="24"/>
          <w:u w:val="none"/>
          <w:lang w:val="en-US" w:eastAsia="zh-CN"/>
        </w:rPr>
        <w:t>桐城市</w:t>
      </w:r>
      <w:r>
        <w:rPr>
          <w:rFonts w:hint="eastAsia"/>
          <w:sz w:val="24"/>
        </w:rPr>
        <w:t xml:space="preserve">      </w:t>
      </w:r>
    </w:p>
    <w:p w14:paraId="1F666CB9">
      <w:pPr>
        <w:spacing w:line="360" w:lineRule="auto"/>
        <w:ind w:firstLine="570"/>
      </w:pPr>
      <w:r>
        <w:rPr>
          <w:rFonts w:hint="eastAsia"/>
          <w:sz w:val="24"/>
        </w:rPr>
        <w:t>根据《中华人民共和国民法典》及其他有关法律法规，在平等互利的基础上，经双方协商，为明确双方的权利和义务达成合同如下：</w:t>
      </w:r>
    </w:p>
    <w:p w14:paraId="1F14CA81">
      <w:pPr>
        <w:numPr>
          <w:ilvl w:val="0"/>
          <w:numId w:val="1"/>
        </w:numPr>
        <w:spacing w:line="360" w:lineRule="auto"/>
        <w:ind w:firstLine="482" w:firstLineChars="200"/>
        <w:rPr>
          <w:rFonts w:hint="eastAsia"/>
          <w:b/>
          <w:bCs/>
          <w:sz w:val="24"/>
          <w:highlight w:val="none"/>
        </w:rPr>
      </w:pPr>
      <w:r>
        <w:rPr>
          <w:rFonts w:hint="eastAsia"/>
          <w:b/>
          <w:bCs/>
          <w:sz w:val="24"/>
          <w:highlight w:val="none"/>
        </w:rPr>
        <w:t>：合同材料名称、规格、单价</w:t>
      </w:r>
      <w:r>
        <w:rPr>
          <w:rFonts w:hint="eastAsia"/>
          <w:b/>
          <w:bCs/>
          <w:sz w:val="24"/>
          <w:highlight w:val="none"/>
          <w:lang w:eastAsia="zh-CN"/>
        </w:rPr>
        <w:t>、</w:t>
      </w:r>
      <w:r>
        <w:rPr>
          <w:rFonts w:hint="eastAsia"/>
          <w:b/>
          <w:bCs/>
          <w:sz w:val="24"/>
          <w:highlight w:val="none"/>
          <w:lang w:val="en-US" w:eastAsia="zh-CN"/>
        </w:rPr>
        <w:t>合价</w:t>
      </w:r>
      <w:r>
        <w:rPr>
          <w:rFonts w:hint="eastAsia"/>
          <w:b/>
          <w:bCs/>
          <w:sz w:val="24"/>
          <w:highlight w:val="none"/>
        </w:rPr>
        <w:t>。</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1"/>
        <w:gridCol w:w="2054"/>
        <w:gridCol w:w="916"/>
        <w:gridCol w:w="1414"/>
        <w:gridCol w:w="1363"/>
        <w:gridCol w:w="2110"/>
      </w:tblGrid>
      <w:tr w14:paraId="1B24D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661" w:type="dxa"/>
            <w:noWrap w:val="0"/>
            <w:vAlign w:val="center"/>
          </w:tcPr>
          <w:p w14:paraId="742F4309">
            <w:pPr>
              <w:pStyle w:val="2"/>
              <w:jc w:val="center"/>
              <w:rPr>
                <w:rFonts w:hint="eastAsia" w:eastAsia="宋体"/>
                <w:b w:val="0"/>
                <w:bCs w:val="0"/>
                <w:sz w:val="24"/>
                <w:highlight w:val="none"/>
                <w:vertAlign w:val="baseline"/>
                <w:lang w:eastAsia="zh-CN"/>
              </w:rPr>
            </w:pPr>
            <w:r>
              <w:rPr>
                <w:rFonts w:hint="eastAsia"/>
                <w:b w:val="0"/>
                <w:bCs w:val="0"/>
                <w:sz w:val="24"/>
                <w:highlight w:val="none"/>
                <w:vertAlign w:val="baseline"/>
                <w:lang w:eastAsia="zh-CN"/>
              </w:rPr>
              <w:t>序号</w:t>
            </w:r>
          </w:p>
        </w:tc>
        <w:tc>
          <w:tcPr>
            <w:tcW w:w="2054" w:type="dxa"/>
            <w:noWrap w:val="0"/>
            <w:vAlign w:val="center"/>
          </w:tcPr>
          <w:p w14:paraId="03C27240">
            <w:pPr>
              <w:pStyle w:val="2"/>
              <w:jc w:val="center"/>
              <w:rPr>
                <w:rFonts w:hint="eastAsia" w:eastAsia="宋体"/>
                <w:b w:val="0"/>
                <w:bCs w:val="0"/>
                <w:sz w:val="24"/>
                <w:highlight w:val="none"/>
                <w:vertAlign w:val="baseline"/>
                <w:lang w:eastAsia="zh-CN"/>
              </w:rPr>
            </w:pPr>
            <w:r>
              <w:rPr>
                <w:rFonts w:hint="eastAsia"/>
                <w:b w:val="0"/>
                <w:bCs w:val="0"/>
                <w:sz w:val="24"/>
                <w:highlight w:val="none"/>
                <w:vertAlign w:val="baseline"/>
                <w:lang w:eastAsia="zh-CN"/>
              </w:rPr>
              <w:t>材料名称</w:t>
            </w:r>
          </w:p>
        </w:tc>
        <w:tc>
          <w:tcPr>
            <w:tcW w:w="916" w:type="dxa"/>
            <w:noWrap w:val="0"/>
            <w:vAlign w:val="center"/>
          </w:tcPr>
          <w:p w14:paraId="6974C80B">
            <w:pPr>
              <w:pStyle w:val="2"/>
              <w:jc w:val="center"/>
              <w:rPr>
                <w:rFonts w:hint="eastAsia" w:eastAsia="宋体"/>
                <w:b w:val="0"/>
                <w:bCs w:val="0"/>
                <w:sz w:val="24"/>
                <w:highlight w:val="none"/>
                <w:vertAlign w:val="baseline"/>
                <w:lang w:eastAsia="zh-CN"/>
              </w:rPr>
            </w:pPr>
            <w:r>
              <w:rPr>
                <w:rFonts w:hint="eastAsia"/>
                <w:b w:val="0"/>
                <w:bCs w:val="0"/>
                <w:sz w:val="24"/>
                <w:highlight w:val="none"/>
                <w:vertAlign w:val="baseline"/>
                <w:lang w:eastAsia="zh-CN"/>
              </w:rPr>
              <w:t>单位</w:t>
            </w:r>
          </w:p>
        </w:tc>
        <w:tc>
          <w:tcPr>
            <w:tcW w:w="1414" w:type="dxa"/>
            <w:noWrap w:val="0"/>
            <w:vAlign w:val="center"/>
          </w:tcPr>
          <w:p w14:paraId="564682CA">
            <w:pPr>
              <w:pStyle w:val="2"/>
              <w:jc w:val="center"/>
              <w:rPr>
                <w:rFonts w:hint="eastAsia" w:eastAsia="宋体"/>
                <w:b w:val="0"/>
                <w:bCs w:val="0"/>
                <w:sz w:val="24"/>
                <w:highlight w:val="none"/>
                <w:vertAlign w:val="baseline"/>
                <w:lang w:eastAsia="zh-CN"/>
              </w:rPr>
            </w:pPr>
            <w:r>
              <w:rPr>
                <w:rFonts w:hint="eastAsia"/>
                <w:b w:val="0"/>
                <w:bCs w:val="0"/>
                <w:sz w:val="24"/>
                <w:highlight w:val="none"/>
                <w:vertAlign w:val="baseline"/>
                <w:lang w:eastAsia="zh-CN"/>
              </w:rPr>
              <w:t>数量</w:t>
            </w:r>
          </w:p>
        </w:tc>
        <w:tc>
          <w:tcPr>
            <w:tcW w:w="1363" w:type="dxa"/>
            <w:noWrap w:val="0"/>
            <w:vAlign w:val="center"/>
          </w:tcPr>
          <w:p w14:paraId="7D13E98A">
            <w:pPr>
              <w:pStyle w:val="2"/>
              <w:jc w:val="center"/>
              <w:rPr>
                <w:rFonts w:hint="eastAsia" w:eastAsia="宋体"/>
                <w:b w:val="0"/>
                <w:bCs w:val="0"/>
                <w:sz w:val="24"/>
                <w:highlight w:val="none"/>
                <w:vertAlign w:val="baseline"/>
                <w:lang w:val="en-US" w:eastAsia="zh-CN"/>
              </w:rPr>
            </w:pPr>
            <w:r>
              <w:rPr>
                <w:rFonts w:hint="eastAsia"/>
                <w:b w:val="0"/>
                <w:bCs w:val="0"/>
                <w:sz w:val="24"/>
                <w:highlight w:val="none"/>
                <w:vertAlign w:val="baseline"/>
                <w:lang w:val="en-US" w:eastAsia="zh-CN"/>
              </w:rPr>
              <w:t>品牌</w:t>
            </w:r>
          </w:p>
        </w:tc>
        <w:tc>
          <w:tcPr>
            <w:tcW w:w="2110" w:type="dxa"/>
            <w:noWrap w:val="0"/>
            <w:vAlign w:val="center"/>
          </w:tcPr>
          <w:p w14:paraId="493288C1">
            <w:pPr>
              <w:pStyle w:val="2"/>
              <w:jc w:val="center"/>
              <w:rPr>
                <w:rFonts w:hint="eastAsia"/>
                <w:b w:val="0"/>
                <w:bCs w:val="0"/>
                <w:sz w:val="24"/>
                <w:highlight w:val="none"/>
                <w:vertAlign w:val="baseline"/>
                <w:lang w:eastAsia="zh-CN"/>
              </w:rPr>
            </w:pPr>
            <w:r>
              <w:rPr>
                <w:rFonts w:hint="eastAsia"/>
                <w:b w:val="0"/>
                <w:bCs w:val="0"/>
                <w:sz w:val="24"/>
                <w:highlight w:val="none"/>
                <w:vertAlign w:val="baseline"/>
                <w:lang w:eastAsia="zh-CN"/>
              </w:rPr>
              <w:t>单价</w:t>
            </w:r>
          </w:p>
        </w:tc>
      </w:tr>
      <w:tr w14:paraId="54437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661" w:type="dxa"/>
            <w:noWrap w:val="0"/>
            <w:vAlign w:val="center"/>
          </w:tcPr>
          <w:p w14:paraId="3E5D4A22">
            <w:pPr>
              <w:pStyle w:val="2"/>
              <w:jc w:val="center"/>
              <w:rPr>
                <w:rFonts w:hint="eastAsia" w:eastAsia="宋体"/>
                <w:b w:val="0"/>
                <w:bCs w:val="0"/>
                <w:sz w:val="24"/>
                <w:highlight w:val="none"/>
                <w:vertAlign w:val="baseline"/>
                <w:lang w:val="en-US" w:eastAsia="zh-CN"/>
              </w:rPr>
            </w:pPr>
            <w:r>
              <w:rPr>
                <w:rFonts w:hint="eastAsia"/>
                <w:b w:val="0"/>
                <w:bCs w:val="0"/>
                <w:sz w:val="24"/>
                <w:highlight w:val="none"/>
                <w:vertAlign w:val="baseline"/>
                <w:lang w:val="en-US" w:eastAsia="zh-CN"/>
              </w:rPr>
              <w:t>1</w:t>
            </w:r>
          </w:p>
        </w:tc>
        <w:tc>
          <w:tcPr>
            <w:tcW w:w="2054" w:type="dxa"/>
            <w:noWrap w:val="0"/>
            <w:vAlign w:val="center"/>
          </w:tcPr>
          <w:p w14:paraId="71D8B777">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c>
          <w:tcPr>
            <w:tcW w:w="916" w:type="dxa"/>
            <w:noWrap w:val="0"/>
            <w:vAlign w:val="center"/>
          </w:tcPr>
          <w:p w14:paraId="799C76A5">
            <w:pPr>
              <w:keepNext w:val="0"/>
              <w:keepLines w:val="0"/>
              <w:widowControl/>
              <w:suppressLineNumbers w:val="0"/>
              <w:jc w:val="center"/>
              <w:textAlignment w:val="center"/>
              <w:rPr>
                <w:rFonts w:hint="eastAsia" w:ascii="楷体" w:hAnsi="楷体" w:eastAsia="楷体" w:cs="楷体"/>
                <w:kern w:val="2"/>
                <w:sz w:val="28"/>
                <w:szCs w:val="28"/>
                <w:highlight w:val="none"/>
                <w:vertAlign w:val="baseline"/>
                <w:lang w:val="en-US" w:eastAsia="zh-CN" w:bidi="ar-SA"/>
              </w:rPr>
            </w:pPr>
          </w:p>
        </w:tc>
        <w:tc>
          <w:tcPr>
            <w:tcW w:w="1414" w:type="dxa"/>
            <w:noWrap w:val="0"/>
            <w:vAlign w:val="center"/>
          </w:tcPr>
          <w:p w14:paraId="283F7E62">
            <w:pPr>
              <w:keepNext w:val="0"/>
              <w:keepLines w:val="0"/>
              <w:widowControl/>
              <w:suppressLineNumbers w:val="0"/>
              <w:jc w:val="center"/>
              <w:textAlignment w:val="center"/>
              <w:rPr>
                <w:rFonts w:hint="default" w:ascii="楷体" w:hAnsi="楷体" w:eastAsia="楷体" w:cs="楷体"/>
                <w:b w:val="0"/>
                <w:bCs w:val="0"/>
                <w:i w:val="0"/>
                <w:iCs w:val="0"/>
                <w:color w:val="000000"/>
                <w:kern w:val="0"/>
                <w:sz w:val="24"/>
                <w:szCs w:val="24"/>
                <w:highlight w:val="none"/>
                <w:u w:val="none"/>
                <w:lang w:val="en-US" w:eastAsia="zh-CN" w:bidi="ar"/>
              </w:rPr>
            </w:pPr>
          </w:p>
        </w:tc>
        <w:tc>
          <w:tcPr>
            <w:tcW w:w="1363" w:type="dxa"/>
            <w:noWrap w:val="0"/>
            <w:vAlign w:val="center"/>
          </w:tcPr>
          <w:p w14:paraId="23C6A10C">
            <w:pPr>
              <w:keepNext w:val="0"/>
              <w:keepLines w:val="0"/>
              <w:widowControl/>
              <w:suppressLineNumbers w:val="0"/>
              <w:jc w:val="center"/>
              <w:textAlignment w:val="center"/>
              <w:rPr>
                <w:rFonts w:hint="default" w:ascii="楷体" w:hAnsi="楷体" w:eastAsia="楷体" w:cs="楷体"/>
                <w:b w:val="0"/>
                <w:bCs w:val="0"/>
                <w:i w:val="0"/>
                <w:iCs w:val="0"/>
                <w:color w:val="000000"/>
                <w:kern w:val="0"/>
                <w:sz w:val="24"/>
                <w:szCs w:val="24"/>
                <w:highlight w:val="none"/>
                <w:u w:val="none"/>
                <w:lang w:val="en-US" w:eastAsia="zh-CN" w:bidi="ar"/>
              </w:rPr>
            </w:pPr>
          </w:p>
        </w:tc>
        <w:tc>
          <w:tcPr>
            <w:tcW w:w="2110" w:type="dxa"/>
            <w:noWrap w:val="0"/>
            <w:vAlign w:val="center"/>
          </w:tcPr>
          <w:p w14:paraId="63C87F8E">
            <w:pPr>
              <w:pStyle w:val="2"/>
              <w:jc w:val="center"/>
              <w:rPr>
                <w:rFonts w:hint="default"/>
                <w:b w:val="0"/>
                <w:bCs w:val="0"/>
                <w:sz w:val="24"/>
                <w:highlight w:val="none"/>
                <w:vertAlign w:val="baseline"/>
                <w:lang w:val="en-US" w:eastAsia="zh-CN"/>
              </w:rPr>
            </w:pPr>
          </w:p>
        </w:tc>
      </w:tr>
      <w:tr w14:paraId="02334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661" w:type="dxa"/>
            <w:noWrap w:val="0"/>
            <w:vAlign w:val="center"/>
          </w:tcPr>
          <w:p w14:paraId="1A7F5F76">
            <w:pPr>
              <w:pStyle w:val="2"/>
              <w:jc w:val="center"/>
              <w:rPr>
                <w:rFonts w:hint="default"/>
                <w:b w:val="0"/>
                <w:bCs w:val="0"/>
                <w:sz w:val="24"/>
                <w:highlight w:val="none"/>
                <w:vertAlign w:val="baseline"/>
                <w:lang w:val="en-US" w:eastAsia="zh-CN"/>
              </w:rPr>
            </w:pPr>
            <w:r>
              <w:rPr>
                <w:rFonts w:hint="eastAsia"/>
                <w:b w:val="0"/>
                <w:bCs w:val="0"/>
                <w:sz w:val="24"/>
                <w:highlight w:val="none"/>
                <w:vertAlign w:val="baseline"/>
                <w:lang w:val="en-US" w:eastAsia="zh-CN"/>
              </w:rPr>
              <w:t>2</w:t>
            </w:r>
          </w:p>
        </w:tc>
        <w:tc>
          <w:tcPr>
            <w:tcW w:w="2054" w:type="dxa"/>
            <w:noWrap w:val="0"/>
            <w:vAlign w:val="center"/>
          </w:tcPr>
          <w:p w14:paraId="1F5D221B">
            <w:pPr>
              <w:keepNext w:val="0"/>
              <w:keepLines w:val="0"/>
              <w:widowControl/>
              <w:suppressLineNumbers w:val="0"/>
              <w:jc w:val="center"/>
              <w:textAlignment w:val="center"/>
              <w:rPr>
                <w:rFonts w:hint="eastAsia" w:ascii="宋体" w:hAnsi="宋体" w:cs="宋体"/>
                <w:i w:val="0"/>
                <w:iCs w:val="0"/>
                <w:color w:val="000000"/>
                <w:kern w:val="0"/>
                <w:sz w:val="24"/>
                <w:szCs w:val="24"/>
                <w:highlight w:val="none"/>
                <w:u w:val="none"/>
                <w:lang w:val="en-US" w:eastAsia="zh-CN" w:bidi="ar"/>
              </w:rPr>
            </w:pPr>
          </w:p>
        </w:tc>
        <w:tc>
          <w:tcPr>
            <w:tcW w:w="916" w:type="dxa"/>
            <w:noWrap w:val="0"/>
            <w:vAlign w:val="center"/>
          </w:tcPr>
          <w:p w14:paraId="47863A28">
            <w:pPr>
              <w:keepNext w:val="0"/>
              <w:keepLines w:val="0"/>
              <w:widowControl/>
              <w:suppressLineNumbers w:val="0"/>
              <w:jc w:val="center"/>
              <w:textAlignment w:val="center"/>
              <w:rPr>
                <w:rFonts w:hint="eastAsia" w:ascii="宋体" w:hAnsi="宋体" w:eastAsia="宋体" w:cs="宋体"/>
                <w:sz w:val="28"/>
                <w:szCs w:val="28"/>
                <w:highlight w:val="none"/>
                <w:vertAlign w:val="baseline"/>
                <w:lang w:val="en-US" w:eastAsia="zh-CN"/>
              </w:rPr>
            </w:pPr>
          </w:p>
        </w:tc>
        <w:tc>
          <w:tcPr>
            <w:tcW w:w="1414" w:type="dxa"/>
            <w:noWrap w:val="0"/>
            <w:vAlign w:val="center"/>
          </w:tcPr>
          <w:p w14:paraId="46D65F7A">
            <w:pPr>
              <w:keepNext w:val="0"/>
              <w:keepLines w:val="0"/>
              <w:widowControl/>
              <w:suppressLineNumbers w:val="0"/>
              <w:jc w:val="center"/>
              <w:textAlignment w:val="center"/>
              <w:rPr>
                <w:rFonts w:hint="eastAsia" w:ascii="楷体" w:hAnsi="楷体" w:eastAsia="楷体" w:cs="楷体"/>
                <w:b w:val="0"/>
                <w:bCs w:val="0"/>
                <w:i w:val="0"/>
                <w:iCs w:val="0"/>
                <w:color w:val="000000"/>
                <w:kern w:val="0"/>
                <w:sz w:val="24"/>
                <w:szCs w:val="24"/>
                <w:highlight w:val="none"/>
                <w:u w:val="none"/>
                <w:lang w:val="en-US" w:eastAsia="zh-CN" w:bidi="ar"/>
              </w:rPr>
            </w:pPr>
          </w:p>
        </w:tc>
        <w:tc>
          <w:tcPr>
            <w:tcW w:w="1363" w:type="dxa"/>
            <w:noWrap w:val="0"/>
            <w:vAlign w:val="center"/>
          </w:tcPr>
          <w:p w14:paraId="529C3B2D">
            <w:pPr>
              <w:keepNext w:val="0"/>
              <w:keepLines w:val="0"/>
              <w:widowControl/>
              <w:suppressLineNumbers w:val="0"/>
              <w:jc w:val="center"/>
              <w:textAlignment w:val="center"/>
              <w:rPr>
                <w:rFonts w:hint="eastAsia" w:ascii="楷体" w:hAnsi="楷体" w:eastAsia="楷体" w:cs="楷体"/>
                <w:b w:val="0"/>
                <w:bCs w:val="0"/>
                <w:i w:val="0"/>
                <w:iCs w:val="0"/>
                <w:color w:val="000000"/>
                <w:kern w:val="0"/>
                <w:sz w:val="24"/>
                <w:szCs w:val="24"/>
                <w:highlight w:val="none"/>
                <w:u w:val="none"/>
                <w:lang w:val="en-US" w:eastAsia="zh-CN" w:bidi="ar"/>
              </w:rPr>
            </w:pPr>
          </w:p>
        </w:tc>
        <w:tc>
          <w:tcPr>
            <w:tcW w:w="2110" w:type="dxa"/>
            <w:noWrap w:val="0"/>
            <w:vAlign w:val="center"/>
          </w:tcPr>
          <w:p w14:paraId="02C5E4FD">
            <w:pPr>
              <w:pStyle w:val="2"/>
              <w:jc w:val="center"/>
              <w:rPr>
                <w:rFonts w:hint="eastAsia"/>
                <w:b w:val="0"/>
                <w:bCs w:val="0"/>
                <w:sz w:val="24"/>
                <w:highlight w:val="none"/>
                <w:vertAlign w:val="baseline"/>
                <w:lang w:val="en-US" w:eastAsia="zh-CN"/>
              </w:rPr>
            </w:pPr>
          </w:p>
        </w:tc>
      </w:tr>
      <w:tr w14:paraId="656F7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661" w:type="dxa"/>
            <w:noWrap w:val="0"/>
            <w:vAlign w:val="center"/>
          </w:tcPr>
          <w:p w14:paraId="280EAA56">
            <w:pPr>
              <w:pStyle w:val="2"/>
              <w:jc w:val="center"/>
              <w:rPr>
                <w:rFonts w:hint="default"/>
                <w:b w:val="0"/>
                <w:bCs w:val="0"/>
                <w:sz w:val="24"/>
                <w:highlight w:val="none"/>
                <w:vertAlign w:val="baseline"/>
                <w:lang w:val="en-US" w:eastAsia="zh-CN"/>
              </w:rPr>
            </w:pPr>
            <w:r>
              <w:rPr>
                <w:rFonts w:hint="eastAsia"/>
                <w:b w:val="0"/>
                <w:bCs w:val="0"/>
                <w:sz w:val="24"/>
                <w:highlight w:val="none"/>
                <w:vertAlign w:val="baseline"/>
                <w:lang w:val="en-US" w:eastAsia="zh-CN"/>
              </w:rPr>
              <w:t>3</w:t>
            </w:r>
          </w:p>
        </w:tc>
        <w:tc>
          <w:tcPr>
            <w:tcW w:w="2054" w:type="dxa"/>
            <w:noWrap w:val="0"/>
            <w:vAlign w:val="center"/>
          </w:tcPr>
          <w:p w14:paraId="56089558">
            <w:pPr>
              <w:keepNext w:val="0"/>
              <w:keepLines w:val="0"/>
              <w:widowControl/>
              <w:suppressLineNumbers w:val="0"/>
              <w:jc w:val="center"/>
              <w:textAlignment w:val="center"/>
              <w:rPr>
                <w:rFonts w:hint="eastAsia" w:ascii="宋体" w:hAnsi="宋体" w:cs="宋体"/>
                <w:i w:val="0"/>
                <w:iCs w:val="0"/>
                <w:color w:val="000000"/>
                <w:kern w:val="0"/>
                <w:sz w:val="24"/>
                <w:szCs w:val="24"/>
                <w:highlight w:val="none"/>
                <w:u w:val="none"/>
                <w:lang w:val="en-US" w:eastAsia="zh-CN" w:bidi="ar"/>
              </w:rPr>
            </w:pPr>
          </w:p>
        </w:tc>
        <w:tc>
          <w:tcPr>
            <w:tcW w:w="916" w:type="dxa"/>
            <w:noWrap w:val="0"/>
            <w:vAlign w:val="center"/>
          </w:tcPr>
          <w:p w14:paraId="47E7B49E">
            <w:pPr>
              <w:keepNext w:val="0"/>
              <w:keepLines w:val="0"/>
              <w:widowControl/>
              <w:suppressLineNumbers w:val="0"/>
              <w:jc w:val="center"/>
              <w:textAlignment w:val="center"/>
              <w:rPr>
                <w:rFonts w:hint="eastAsia" w:ascii="宋体" w:hAnsi="宋体" w:eastAsia="宋体" w:cs="宋体"/>
                <w:sz w:val="28"/>
                <w:szCs w:val="28"/>
                <w:highlight w:val="none"/>
                <w:vertAlign w:val="baseline"/>
                <w:lang w:val="en-US" w:eastAsia="zh-CN"/>
              </w:rPr>
            </w:pPr>
          </w:p>
        </w:tc>
        <w:tc>
          <w:tcPr>
            <w:tcW w:w="1414" w:type="dxa"/>
            <w:noWrap w:val="0"/>
            <w:vAlign w:val="center"/>
          </w:tcPr>
          <w:p w14:paraId="14091ACF">
            <w:pPr>
              <w:keepNext w:val="0"/>
              <w:keepLines w:val="0"/>
              <w:widowControl/>
              <w:suppressLineNumbers w:val="0"/>
              <w:jc w:val="center"/>
              <w:textAlignment w:val="center"/>
              <w:rPr>
                <w:rFonts w:hint="eastAsia" w:ascii="楷体" w:hAnsi="楷体" w:eastAsia="楷体" w:cs="楷体"/>
                <w:b w:val="0"/>
                <w:bCs w:val="0"/>
                <w:i w:val="0"/>
                <w:iCs w:val="0"/>
                <w:color w:val="000000"/>
                <w:kern w:val="0"/>
                <w:sz w:val="24"/>
                <w:szCs w:val="24"/>
                <w:highlight w:val="none"/>
                <w:u w:val="none"/>
                <w:lang w:val="en-US" w:eastAsia="zh-CN" w:bidi="ar"/>
              </w:rPr>
            </w:pPr>
          </w:p>
        </w:tc>
        <w:tc>
          <w:tcPr>
            <w:tcW w:w="1363" w:type="dxa"/>
            <w:noWrap w:val="0"/>
            <w:vAlign w:val="center"/>
          </w:tcPr>
          <w:p w14:paraId="310DECEF">
            <w:pPr>
              <w:keepNext w:val="0"/>
              <w:keepLines w:val="0"/>
              <w:widowControl/>
              <w:suppressLineNumbers w:val="0"/>
              <w:jc w:val="center"/>
              <w:textAlignment w:val="center"/>
              <w:rPr>
                <w:rFonts w:hint="eastAsia" w:ascii="楷体" w:hAnsi="楷体" w:eastAsia="楷体" w:cs="楷体"/>
                <w:b w:val="0"/>
                <w:bCs w:val="0"/>
                <w:i w:val="0"/>
                <w:iCs w:val="0"/>
                <w:color w:val="000000"/>
                <w:kern w:val="0"/>
                <w:sz w:val="24"/>
                <w:szCs w:val="24"/>
                <w:highlight w:val="none"/>
                <w:u w:val="none"/>
                <w:lang w:val="en-US" w:eastAsia="zh-CN" w:bidi="ar"/>
              </w:rPr>
            </w:pPr>
          </w:p>
        </w:tc>
        <w:tc>
          <w:tcPr>
            <w:tcW w:w="2110" w:type="dxa"/>
            <w:noWrap w:val="0"/>
            <w:vAlign w:val="center"/>
          </w:tcPr>
          <w:p w14:paraId="1361196F">
            <w:pPr>
              <w:pStyle w:val="2"/>
              <w:jc w:val="center"/>
              <w:rPr>
                <w:rFonts w:hint="eastAsia"/>
                <w:b w:val="0"/>
                <w:bCs w:val="0"/>
                <w:sz w:val="24"/>
                <w:highlight w:val="none"/>
                <w:vertAlign w:val="baseline"/>
                <w:lang w:val="en-US" w:eastAsia="zh-CN"/>
              </w:rPr>
            </w:pPr>
          </w:p>
        </w:tc>
      </w:tr>
      <w:tr w14:paraId="7F451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8518" w:type="dxa"/>
            <w:gridSpan w:val="6"/>
            <w:noWrap w:val="0"/>
            <w:vAlign w:val="center"/>
          </w:tcPr>
          <w:p w14:paraId="1B14FE6D">
            <w:pPr>
              <w:pStyle w:val="2"/>
              <w:jc w:val="center"/>
              <w:rPr>
                <w:rFonts w:hint="eastAsia"/>
                <w:b/>
                <w:bCs/>
                <w:sz w:val="24"/>
                <w:highlight w:val="none"/>
                <w:vertAlign w:val="baseline"/>
                <w:lang w:val="en-US" w:eastAsia="zh-CN"/>
              </w:rPr>
            </w:pPr>
            <w:r>
              <w:rPr>
                <w:rFonts w:hint="eastAsia"/>
                <w:b/>
                <w:bCs/>
                <w:sz w:val="24"/>
                <w:highlight w:val="none"/>
                <w:vertAlign w:val="baseline"/>
                <w:lang w:val="en-US" w:eastAsia="zh-CN"/>
              </w:rPr>
              <w:t>总计：    元</w:t>
            </w:r>
          </w:p>
        </w:tc>
      </w:tr>
    </w:tbl>
    <w:p w14:paraId="0A888A6F">
      <w:pPr>
        <w:pStyle w:val="2"/>
        <w:rPr>
          <w:rFonts w:hint="eastAsia"/>
          <w:b/>
          <w:bCs/>
          <w:sz w:val="24"/>
          <w:highlight w:val="none"/>
        </w:rPr>
      </w:pPr>
    </w:p>
    <w:p w14:paraId="2B9CA9D7">
      <w:pPr>
        <w:spacing w:line="360" w:lineRule="auto"/>
        <w:rPr>
          <w:rFonts w:hint="eastAsia" w:eastAsia="宋体"/>
          <w:sz w:val="24"/>
          <w:highlight w:val="none"/>
          <w:lang w:eastAsia="zh-CN"/>
        </w:rPr>
      </w:pPr>
      <w:r>
        <w:rPr>
          <w:rFonts w:hint="eastAsia"/>
          <w:sz w:val="24"/>
          <w:highlight w:val="none"/>
          <w:lang w:eastAsia="zh-CN"/>
        </w:rPr>
        <w:t>以甲乙双方确定的产品货物清单为准。</w:t>
      </w:r>
    </w:p>
    <w:p w14:paraId="0BF37B28">
      <w:pPr>
        <w:spacing w:line="360" w:lineRule="auto"/>
        <w:ind w:firstLine="480" w:firstLineChars="200"/>
        <w:rPr>
          <w:color w:val="auto"/>
          <w:sz w:val="24"/>
          <w:highlight w:val="none"/>
        </w:rPr>
      </w:pPr>
      <w:r>
        <w:rPr>
          <w:rFonts w:hint="eastAsia"/>
          <w:sz w:val="24"/>
          <w:highlight w:val="none"/>
        </w:rPr>
        <w:t>以上所有材料</w:t>
      </w:r>
      <w:r>
        <w:rPr>
          <w:rFonts w:hint="eastAsia"/>
          <w:sz w:val="24"/>
          <w:highlight w:val="none"/>
          <w:lang w:eastAsia="zh-CN"/>
        </w:rPr>
        <w:t>符合最新国标标准</w:t>
      </w:r>
      <w:r>
        <w:rPr>
          <w:rFonts w:hint="eastAsia"/>
          <w:sz w:val="24"/>
          <w:highlight w:val="none"/>
        </w:rPr>
        <w:t>，</w:t>
      </w:r>
      <w:r>
        <w:rPr>
          <w:rFonts w:hint="eastAsia"/>
          <w:sz w:val="24"/>
          <w:highlight w:val="none"/>
          <w:lang w:eastAsia="zh-CN"/>
        </w:rPr>
        <w:t>所投产品</w:t>
      </w:r>
      <w:r>
        <w:rPr>
          <w:rFonts w:hint="eastAsia"/>
          <w:sz w:val="24"/>
          <w:highlight w:val="none"/>
          <w:lang w:val="en-US" w:eastAsia="zh-CN"/>
        </w:rPr>
        <w:t>响应</w:t>
      </w:r>
      <w:r>
        <w:rPr>
          <w:rFonts w:hint="eastAsia"/>
          <w:sz w:val="24"/>
          <w:highlight w:val="none"/>
          <w:lang w:eastAsia="zh-CN"/>
        </w:rPr>
        <w:t>招标文件里面一切要求</w:t>
      </w:r>
      <w:r>
        <w:rPr>
          <w:rFonts w:hint="eastAsia"/>
          <w:color w:val="auto"/>
          <w:sz w:val="24"/>
          <w:highlight w:val="none"/>
          <w:lang w:eastAsia="zh-CN"/>
        </w:rPr>
        <w:t>，</w:t>
      </w:r>
      <w:r>
        <w:rPr>
          <w:rFonts w:hint="eastAsia"/>
          <w:color w:val="auto"/>
          <w:sz w:val="24"/>
          <w:highlight w:val="none"/>
        </w:rPr>
        <w:t>合同单价包括运输、下货、</w:t>
      </w:r>
      <w:r>
        <w:rPr>
          <w:rFonts w:hint="eastAsia"/>
          <w:color w:val="auto"/>
          <w:sz w:val="24"/>
          <w:highlight w:val="none"/>
          <w:lang w:eastAsia="zh-CN"/>
        </w:rPr>
        <w:t>税金（</w:t>
      </w:r>
      <w:r>
        <w:rPr>
          <w:rFonts w:hint="eastAsia"/>
          <w:color w:val="auto"/>
          <w:sz w:val="24"/>
          <w:highlight w:val="none"/>
          <w:lang w:val="en-US" w:eastAsia="zh-CN"/>
        </w:rPr>
        <w:t>13%</w:t>
      </w:r>
      <w:r>
        <w:rPr>
          <w:rFonts w:hint="eastAsia"/>
          <w:color w:val="auto"/>
          <w:sz w:val="24"/>
          <w:highlight w:val="none"/>
          <w:lang w:eastAsia="zh-CN"/>
        </w:rPr>
        <w:t>）、</w:t>
      </w:r>
      <w:r>
        <w:rPr>
          <w:rFonts w:hint="eastAsia"/>
          <w:color w:val="auto"/>
          <w:sz w:val="24"/>
          <w:highlight w:val="none"/>
          <w:lang w:val="en-US" w:eastAsia="zh-CN"/>
        </w:rPr>
        <w:t>技术指导、</w:t>
      </w:r>
      <w:r>
        <w:rPr>
          <w:rFonts w:hint="eastAsia"/>
          <w:color w:val="auto"/>
          <w:sz w:val="24"/>
          <w:highlight w:val="none"/>
        </w:rPr>
        <w:t>保险等产品到达甲方指定仓库的所有各种费用。</w:t>
      </w:r>
    </w:p>
    <w:p w14:paraId="1C7F58A6">
      <w:pPr>
        <w:spacing w:line="360" w:lineRule="auto"/>
        <w:ind w:firstLine="482" w:firstLineChars="200"/>
        <w:rPr>
          <w:b/>
          <w:bCs/>
          <w:color w:val="auto"/>
          <w:sz w:val="24"/>
          <w:highlight w:val="none"/>
        </w:rPr>
      </w:pPr>
      <w:r>
        <w:rPr>
          <w:rFonts w:hint="eastAsia"/>
          <w:b/>
          <w:bCs/>
          <w:color w:val="auto"/>
          <w:sz w:val="24"/>
          <w:highlight w:val="none"/>
        </w:rPr>
        <w:t>第二条：产品质量标</w:t>
      </w:r>
      <w:r>
        <w:rPr>
          <w:rFonts w:hint="eastAsia"/>
          <w:b/>
          <w:bCs/>
          <w:color w:val="auto"/>
          <w:sz w:val="24"/>
          <w:highlight w:val="none"/>
          <w:lang w:val="en-US" w:eastAsia="zh-CN"/>
        </w:rPr>
        <w:t>准</w:t>
      </w:r>
      <w:r>
        <w:rPr>
          <w:rFonts w:hint="eastAsia"/>
          <w:b/>
          <w:bCs/>
          <w:color w:val="auto"/>
          <w:sz w:val="24"/>
          <w:highlight w:val="none"/>
        </w:rPr>
        <w:t>。</w:t>
      </w:r>
    </w:p>
    <w:p w14:paraId="4678F446">
      <w:pPr>
        <w:spacing w:line="360" w:lineRule="auto"/>
        <w:ind w:firstLine="480"/>
        <w:rPr>
          <w:rFonts w:hint="eastAsia"/>
          <w:color w:val="auto"/>
          <w:sz w:val="24"/>
          <w:highlight w:val="none"/>
        </w:rPr>
      </w:pPr>
      <w:r>
        <w:rPr>
          <w:rFonts w:hint="eastAsia"/>
          <w:color w:val="auto"/>
          <w:sz w:val="24"/>
          <w:highlight w:val="none"/>
        </w:rPr>
        <w:t>乙方保证所供商品（包括商品部件、配件）符合国家规定的技术规格和质量标准的出厂原装合格的产品，并且是完全符合甲方采购货物要求所规定的技术参数和质量要求。</w:t>
      </w:r>
      <w:r>
        <w:rPr>
          <w:rFonts w:hint="eastAsia"/>
          <w:b w:val="0"/>
          <w:bCs w:val="0"/>
          <w:color w:val="auto"/>
          <w:sz w:val="24"/>
          <w:highlight w:val="none"/>
        </w:rPr>
        <w:t>乙方供货时同时提供所供产品《卫生许可证批件》</w:t>
      </w:r>
      <w:r>
        <w:rPr>
          <w:rFonts w:hint="eastAsia"/>
          <w:b w:val="0"/>
          <w:bCs w:val="0"/>
          <w:color w:val="auto"/>
          <w:sz w:val="24"/>
          <w:highlight w:val="none"/>
          <w:lang w:eastAsia="zh-CN"/>
        </w:rPr>
        <w:t>、</w:t>
      </w:r>
      <w:r>
        <w:rPr>
          <w:rFonts w:hint="eastAsia"/>
          <w:b w:val="0"/>
          <w:bCs w:val="0"/>
          <w:color w:val="auto"/>
          <w:sz w:val="24"/>
          <w:highlight w:val="none"/>
        </w:rPr>
        <w:t>提供所供产品产品质量合格证、</w:t>
      </w:r>
      <w:r>
        <w:rPr>
          <w:rFonts w:hint="eastAsia"/>
          <w:b w:val="0"/>
          <w:bCs w:val="0"/>
          <w:color w:val="auto"/>
          <w:sz w:val="24"/>
          <w:highlight w:val="none"/>
          <w:lang w:eastAsia="zh-CN"/>
        </w:rPr>
        <w:t>同批次产品的</w:t>
      </w:r>
      <w:r>
        <w:rPr>
          <w:rFonts w:hint="eastAsia"/>
          <w:b w:val="0"/>
          <w:bCs w:val="0"/>
          <w:color w:val="auto"/>
          <w:sz w:val="24"/>
          <w:highlight w:val="none"/>
        </w:rPr>
        <w:t>《质量检测报告》</w:t>
      </w:r>
      <w:r>
        <w:rPr>
          <w:rFonts w:hint="eastAsia"/>
          <w:b w:val="0"/>
          <w:bCs w:val="0"/>
          <w:color w:val="auto"/>
          <w:sz w:val="24"/>
          <w:highlight w:val="none"/>
          <w:lang w:eastAsia="zh-CN"/>
        </w:rPr>
        <w:t>、提供验收的必要技术资料等</w:t>
      </w:r>
      <w:r>
        <w:rPr>
          <w:rFonts w:hint="eastAsia"/>
          <w:color w:val="auto"/>
          <w:sz w:val="24"/>
          <w:highlight w:val="none"/>
        </w:rPr>
        <w:t>；因所供商品质量原因造成甲方及关联方损失的由乙方</w:t>
      </w:r>
      <w:r>
        <w:rPr>
          <w:rFonts w:hint="eastAsia"/>
          <w:color w:val="auto"/>
          <w:sz w:val="24"/>
          <w:highlight w:val="none"/>
          <w:lang w:val="en-US" w:eastAsia="zh-CN"/>
        </w:rPr>
        <w:t>负</w:t>
      </w:r>
      <w:r>
        <w:rPr>
          <w:rFonts w:hint="eastAsia"/>
          <w:color w:val="auto"/>
          <w:sz w:val="24"/>
          <w:highlight w:val="none"/>
        </w:rPr>
        <w:t>全责。</w:t>
      </w:r>
    </w:p>
    <w:p w14:paraId="67CA6943">
      <w:pPr>
        <w:pStyle w:val="2"/>
        <w:rPr>
          <w:rFonts w:hint="eastAsia" w:eastAsia="宋体"/>
          <w:b w:val="0"/>
          <w:bCs w:val="0"/>
          <w:color w:val="auto"/>
          <w:highlight w:val="yellow"/>
          <w:lang w:val="en-US" w:eastAsia="zh-CN"/>
        </w:rPr>
      </w:pPr>
      <w:r>
        <w:rPr>
          <w:rFonts w:hint="eastAsia"/>
          <w:color w:val="auto"/>
          <w:sz w:val="24"/>
          <w:highlight w:val="none"/>
          <w:lang w:val="en-US" w:eastAsia="zh-CN"/>
        </w:rPr>
        <w:t xml:space="preserve">    </w:t>
      </w:r>
      <w:r>
        <w:rPr>
          <w:rFonts w:hint="eastAsia"/>
          <w:b w:val="0"/>
          <w:bCs w:val="0"/>
          <w:color w:val="auto"/>
          <w:sz w:val="24"/>
          <w:highlight w:val="yellow"/>
          <w:lang w:val="en-US" w:eastAsia="zh-CN"/>
        </w:rPr>
        <w:t>甲方对供货厂家的产品质量产生质疑时，有权进行随机抽检，甲方委托专业的第三方机构（甲方指定）进行检测，检测等产生的所有费用由乙方承担，如检测中发现产品不合格，立即终止合同，</w:t>
      </w:r>
      <w:r>
        <w:rPr>
          <w:rFonts w:hint="default" w:ascii="宋体" w:hAnsi="宋体"/>
          <w:b w:val="0"/>
          <w:bCs w:val="0"/>
          <w:color w:val="auto"/>
          <w:sz w:val="24"/>
          <w:highlight w:val="yellow"/>
          <w:lang w:val="en-US" w:eastAsia="zh-CN"/>
        </w:rPr>
        <w:t>并保留追究其法律责任的权利</w:t>
      </w:r>
      <w:r>
        <w:rPr>
          <w:rFonts w:hint="eastAsia"/>
          <w:b w:val="0"/>
          <w:bCs w:val="0"/>
          <w:color w:val="auto"/>
          <w:sz w:val="24"/>
          <w:highlight w:val="yellow"/>
          <w:lang w:val="en-US" w:eastAsia="zh-CN"/>
        </w:rPr>
        <w:t>，因检测中发现的产品质量问题对甲方工期造成影响，不能按合同规定时间进行供货，乙方须向甲方支付中标总价款的10%。</w:t>
      </w:r>
    </w:p>
    <w:p w14:paraId="2304BEE1">
      <w:pPr>
        <w:spacing w:line="360" w:lineRule="auto"/>
        <w:ind w:firstLine="480"/>
        <w:rPr>
          <w:b/>
          <w:bCs/>
          <w:color w:val="auto"/>
          <w:sz w:val="24"/>
          <w:highlight w:val="none"/>
        </w:rPr>
      </w:pPr>
      <w:r>
        <w:rPr>
          <w:rFonts w:hint="eastAsia"/>
          <w:b/>
          <w:bCs/>
          <w:color w:val="auto"/>
          <w:sz w:val="24"/>
          <w:highlight w:val="none"/>
        </w:rPr>
        <w:t>第三条：合同履行时间、地点。</w:t>
      </w:r>
    </w:p>
    <w:p w14:paraId="73E27FC5">
      <w:pPr>
        <w:ind w:firstLine="480" w:firstLineChars="200"/>
        <w:rPr>
          <w:rFonts w:ascii="宋体" w:hAnsi="宋体" w:cs="宋体"/>
          <w:color w:val="auto"/>
          <w:sz w:val="24"/>
          <w:highlight w:val="none"/>
          <w:u w:val="single"/>
        </w:rPr>
      </w:pPr>
      <w:r>
        <w:rPr>
          <w:rFonts w:hint="eastAsia"/>
          <w:color w:val="auto"/>
          <w:sz w:val="24"/>
          <w:highlight w:val="none"/>
        </w:rPr>
        <w:t>甲乙双方合同签订后，</w:t>
      </w:r>
      <w:r>
        <w:rPr>
          <w:rFonts w:hint="eastAsia"/>
          <w:color w:val="auto"/>
          <w:sz w:val="24"/>
          <w:highlight w:val="none"/>
          <w:lang w:val="en-US" w:eastAsia="zh-CN"/>
        </w:rPr>
        <w:t>中标后按甲方通知，三日内完成供货并送至指定地点，具体以采购人要求为准</w:t>
      </w:r>
      <w:r>
        <w:rPr>
          <w:rFonts w:hint="eastAsia"/>
          <w:color w:val="auto"/>
          <w:sz w:val="24"/>
          <w:highlight w:val="none"/>
        </w:rPr>
        <w:t>，</w:t>
      </w:r>
      <w:r>
        <w:rPr>
          <w:rFonts w:hint="eastAsia" w:ascii="宋体" w:hAnsi="宋体" w:cs="宋体"/>
          <w:color w:val="auto"/>
          <w:sz w:val="24"/>
          <w:highlight w:val="none"/>
        </w:rPr>
        <w:t>并确保包装完好无损，附随车装货清单，甲方材料仓管人员当场清点、签字，如因包装不当或破损造成的产品缺失，由乙方负责。</w:t>
      </w:r>
    </w:p>
    <w:p w14:paraId="18D923FC">
      <w:pPr>
        <w:spacing w:line="360" w:lineRule="auto"/>
        <w:ind w:firstLine="482" w:firstLineChars="200"/>
        <w:rPr>
          <w:b/>
          <w:bCs/>
          <w:color w:val="auto"/>
          <w:sz w:val="24"/>
          <w:highlight w:val="none"/>
        </w:rPr>
      </w:pPr>
      <w:r>
        <w:rPr>
          <w:rFonts w:hint="eastAsia"/>
          <w:b/>
          <w:bCs/>
          <w:color w:val="auto"/>
          <w:sz w:val="24"/>
          <w:highlight w:val="none"/>
        </w:rPr>
        <w:t>第四条：:验收时间、组织。</w:t>
      </w:r>
    </w:p>
    <w:p w14:paraId="0DFD5024">
      <w:pPr>
        <w:spacing w:line="360" w:lineRule="auto"/>
        <w:ind w:firstLine="508" w:firstLineChars="212"/>
        <w:rPr>
          <w:color w:val="auto"/>
          <w:sz w:val="24"/>
          <w:highlight w:val="none"/>
        </w:rPr>
      </w:pPr>
      <w:r>
        <w:rPr>
          <w:rFonts w:hint="eastAsia"/>
          <w:color w:val="auto"/>
          <w:sz w:val="24"/>
          <w:highlight w:val="none"/>
          <w:lang w:val="en-US" w:eastAsia="zh-CN"/>
        </w:rPr>
        <w:t>甲方应在</w:t>
      </w:r>
      <w:r>
        <w:rPr>
          <w:rFonts w:hint="eastAsia"/>
          <w:color w:val="auto"/>
          <w:sz w:val="24"/>
          <w:highlight w:val="none"/>
          <w:u w:val="single"/>
          <w:lang w:val="en-US" w:eastAsia="zh-CN"/>
        </w:rPr>
        <w:t>90</w:t>
      </w:r>
      <w:r>
        <w:rPr>
          <w:rFonts w:hint="eastAsia"/>
          <w:color w:val="auto"/>
          <w:sz w:val="24"/>
          <w:highlight w:val="none"/>
          <w:lang w:val="en-US" w:eastAsia="zh-CN"/>
        </w:rPr>
        <w:t>日内完成标的物的验收工作，</w:t>
      </w:r>
      <w:r>
        <w:rPr>
          <w:rFonts w:hint="eastAsia"/>
          <w:color w:val="auto"/>
          <w:sz w:val="24"/>
          <w:highlight w:val="none"/>
        </w:rPr>
        <w:t>乙方</w:t>
      </w:r>
      <w:r>
        <w:rPr>
          <w:rFonts w:hint="eastAsia"/>
          <w:color w:val="auto"/>
          <w:sz w:val="24"/>
          <w:highlight w:val="none"/>
          <w:lang w:eastAsia="zh-CN"/>
        </w:rPr>
        <w:t>应配合甲方对所供产品进行</w:t>
      </w:r>
      <w:r>
        <w:rPr>
          <w:rFonts w:hint="eastAsia"/>
          <w:color w:val="auto"/>
          <w:sz w:val="24"/>
          <w:highlight w:val="none"/>
        </w:rPr>
        <w:t>验收。</w:t>
      </w:r>
    </w:p>
    <w:p w14:paraId="23921339">
      <w:pPr>
        <w:spacing w:line="360" w:lineRule="auto"/>
        <w:ind w:firstLine="482" w:firstLineChars="200"/>
        <w:rPr>
          <w:b/>
          <w:bCs/>
          <w:color w:val="auto"/>
          <w:sz w:val="24"/>
          <w:highlight w:val="none"/>
        </w:rPr>
      </w:pPr>
      <w:r>
        <w:rPr>
          <w:rFonts w:hint="eastAsia"/>
          <w:b/>
          <w:bCs/>
          <w:color w:val="auto"/>
          <w:sz w:val="24"/>
          <w:highlight w:val="none"/>
        </w:rPr>
        <w:t>第五条：货款支付。</w:t>
      </w:r>
    </w:p>
    <w:p w14:paraId="7AA89EB5">
      <w:pPr>
        <w:spacing w:line="360" w:lineRule="auto"/>
        <w:ind w:firstLine="508" w:firstLineChars="212"/>
        <w:jc w:val="left"/>
        <w:rPr>
          <w:rFonts w:hint="eastAsia" w:ascii="宋体" w:hAnsi="宋体" w:eastAsia="宋体"/>
          <w:color w:val="auto"/>
          <w:sz w:val="24"/>
          <w:highlight w:val="none"/>
          <w:u w:val="single"/>
          <w:lang w:val="en-US" w:eastAsia="zh-CN"/>
        </w:rPr>
      </w:pPr>
      <w:r>
        <w:rPr>
          <w:rFonts w:hint="eastAsia" w:ascii="宋体" w:hAnsi="宋体" w:cs="宋体"/>
          <w:color w:val="auto"/>
          <w:sz w:val="24"/>
          <w:highlight w:val="none"/>
        </w:rPr>
        <w:t>乙方所供</w:t>
      </w:r>
      <w:r>
        <w:rPr>
          <w:rFonts w:hint="eastAsia"/>
          <w:color w:val="auto"/>
          <w:sz w:val="24"/>
          <w:highlight w:val="none"/>
        </w:rPr>
        <w:t>产品经验收合格后，向甲方提供</w:t>
      </w:r>
      <w:r>
        <w:rPr>
          <w:rFonts w:hint="eastAsia"/>
          <w:color w:val="auto"/>
          <w:sz w:val="24"/>
          <w:highlight w:val="none"/>
          <w:lang w:val="en-US" w:eastAsia="zh-CN"/>
        </w:rPr>
        <w:t>13%</w:t>
      </w:r>
      <w:r>
        <w:rPr>
          <w:rFonts w:hint="eastAsia"/>
          <w:color w:val="auto"/>
          <w:sz w:val="24"/>
          <w:highlight w:val="none"/>
          <w:lang w:eastAsia="zh-CN"/>
        </w:rPr>
        <w:t>增值税发票原件、</w:t>
      </w:r>
      <w:r>
        <w:rPr>
          <w:rFonts w:hint="eastAsia"/>
          <w:color w:val="auto"/>
          <w:sz w:val="24"/>
          <w:highlight w:val="none"/>
        </w:rPr>
        <w:t>供货合同</w:t>
      </w:r>
      <w:r>
        <w:rPr>
          <w:rFonts w:hint="eastAsia"/>
          <w:color w:val="auto"/>
          <w:sz w:val="24"/>
          <w:highlight w:val="none"/>
          <w:lang w:val="en-US" w:eastAsia="zh-CN"/>
        </w:rPr>
        <w:t>和验收合格报告</w:t>
      </w:r>
      <w:r>
        <w:rPr>
          <w:rFonts w:hint="eastAsia"/>
          <w:color w:val="auto"/>
          <w:sz w:val="24"/>
          <w:highlight w:val="none"/>
        </w:rPr>
        <w:t>复印件，甲方根据验收合格报告</w:t>
      </w:r>
      <w:r>
        <w:rPr>
          <w:rFonts w:hint="eastAsia"/>
          <w:color w:val="auto"/>
          <w:sz w:val="24"/>
          <w:highlight w:val="none"/>
          <w:lang w:val="en-US" w:eastAsia="zh-CN"/>
        </w:rPr>
        <w:t>3个月内</w:t>
      </w:r>
      <w:r>
        <w:rPr>
          <w:rFonts w:hint="eastAsia"/>
          <w:color w:val="auto"/>
          <w:sz w:val="24"/>
          <w:highlight w:val="none"/>
          <w:lang w:eastAsia="zh-CN"/>
        </w:rPr>
        <w:t>向乙方支付该批货款的</w:t>
      </w:r>
      <w:r>
        <w:rPr>
          <w:rFonts w:hint="eastAsia"/>
          <w:color w:val="auto"/>
          <w:sz w:val="24"/>
          <w:highlight w:val="none"/>
          <w:lang w:val="en-US" w:eastAsia="zh-CN"/>
        </w:rPr>
        <w:t>95%，剩余的5%作为乙方产品的余款，两年以后，</w:t>
      </w:r>
      <w:r>
        <w:rPr>
          <w:rFonts w:hint="eastAsia" w:ascii="宋体" w:hAnsi="宋体"/>
          <w:color w:val="auto"/>
          <w:sz w:val="24"/>
          <w:highlight w:val="none"/>
        </w:rPr>
        <w:t>经核实产品无质量</w:t>
      </w:r>
      <w:r>
        <w:rPr>
          <w:rFonts w:hint="eastAsia" w:ascii="宋体" w:hAnsi="宋体"/>
          <w:color w:val="auto"/>
          <w:sz w:val="24"/>
          <w:highlight w:val="none"/>
          <w:lang w:eastAsia="zh-CN"/>
        </w:rPr>
        <w:t>等其他</w:t>
      </w:r>
      <w:r>
        <w:rPr>
          <w:rFonts w:hint="eastAsia" w:ascii="宋体" w:hAnsi="宋体"/>
          <w:color w:val="auto"/>
          <w:sz w:val="24"/>
          <w:highlight w:val="none"/>
        </w:rPr>
        <w:t>问题</w:t>
      </w:r>
      <w:r>
        <w:rPr>
          <w:rFonts w:hint="eastAsia" w:ascii="宋体" w:hAnsi="宋体"/>
          <w:color w:val="auto"/>
          <w:sz w:val="24"/>
          <w:highlight w:val="none"/>
          <w:lang w:eastAsia="zh-CN"/>
        </w:rPr>
        <w:t>，甲方</w:t>
      </w:r>
      <w:r>
        <w:rPr>
          <w:rFonts w:hint="eastAsia"/>
          <w:color w:val="auto"/>
          <w:sz w:val="24"/>
          <w:highlight w:val="none"/>
        </w:rPr>
        <w:t>向乙方</w:t>
      </w:r>
      <w:r>
        <w:rPr>
          <w:rFonts w:hint="eastAsia"/>
          <w:color w:val="auto"/>
          <w:sz w:val="24"/>
          <w:highlight w:val="none"/>
          <w:lang w:eastAsia="zh-CN"/>
        </w:rPr>
        <w:t>结清余款，无需支付利息。</w:t>
      </w:r>
    </w:p>
    <w:p w14:paraId="7E4733B7">
      <w:pPr>
        <w:spacing w:line="360" w:lineRule="auto"/>
        <w:ind w:firstLine="482" w:firstLineChars="200"/>
        <w:rPr>
          <w:rFonts w:hint="eastAsia" w:ascii="宋体" w:hAnsi="宋体"/>
          <w:b/>
          <w:bCs/>
          <w:color w:val="auto"/>
          <w:sz w:val="24"/>
          <w:highlight w:val="none"/>
        </w:rPr>
      </w:pPr>
      <w:r>
        <w:rPr>
          <w:rFonts w:hint="eastAsia" w:ascii="宋体" w:hAnsi="宋体"/>
          <w:b/>
          <w:bCs/>
          <w:color w:val="auto"/>
          <w:sz w:val="24"/>
          <w:highlight w:val="none"/>
        </w:rPr>
        <w:t>第六条：售后服务。</w:t>
      </w:r>
    </w:p>
    <w:p w14:paraId="54FAC825">
      <w:pPr>
        <w:keepNext w:val="0"/>
        <w:keepLines w:val="0"/>
        <w:pageBreakBefore w:val="0"/>
        <w:widowControl w:val="0"/>
        <w:kinsoku/>
        <w:wordWrap/>
        <w:overflowPunct/>
        <w:topLinePunct w:val="0"/>
        <w:autoSpaceDE/>
        <w:autoSpaceDN/>
        <w:bidi w:val="0"/>
        <w:adjustRightInd/>
        <w:snapToGrid/>
        <w:spacing w:line="312" w:lineRule="auto"/>
        <w:ind w:firstLine="508" w:firstLineChars="212"/>
        <w:textAlignment w:val="auto"/>
        <w:rPr>
          <w:rFonts w:hint="eastAsia" w:asciiTheme="minorHAnsi" w:hAnsiTheme="minorHAnsi" w:eastAsiaTheme="minorEastAsia" w:cstheme="minorBidi"/>
          <w:color w:val="auto"/>
          <w:kern w:val="2"/>
          <w:sz w:val="24"/>
          <w:szCs w:val="24"/>
          <w:highlight w:val="none"/>
          <w:lang w:val="en-US" w:eastAsia="zh-CN" w:bidi="ar-SA"/>
        </w:rPr>
      </w:pPr>
      <w:r>
        <w:rPr>
          <w:rFonts w:hint="eastAsia" w:asciiTheme="minorHAnsi" w:hAnsiTheme="minorHAnsi" w:eastAsiaTheme="minorEastAsia" w:cstheme="minorBidi"/>
          <w:color w:val="auto"/>
          <w:kern w:val="2"/>
          <w:sz w:val="24"/>
          <w:szCs w:val="24"/>
          <w:highlight w:val="none"/>
          <w:lang w:val="en-US" w:eastAsia="zh-CN" w:bidi="ar-SA"/>
        </w:rPr>
        <w:t>本项目材料免费质保期限依甲方出具验收合格证明起</w:t>
      </w:r>
      <w:r>
        <w:rPr>
          <w:rFonts w:hint="eastAsia" w:cstheme="minorBidi"/>
          <w:color w:val="auto"/>
          <w:kern w:val="2"/>
          <w:sz w:val="24"/>
          <w:szCs w:val="24"/>
          <w:highlight w:val="none"/>
          <w:lang w:val="en-US" w:eastAsia="zh-CN" w:bidi="ar-SA"/>
        </w:rPr>
        <w:t>6</w:t>
      </w:r>
      <w:r>
        <w:rPr>
          <w:rFonts w:hint="eastAsia" w:asciiTheme="minorHAnsi" w:hAnsiTheme="minorHAnsi" w:eastAsiaTheme="minorEastAsia" w:cstheme="minorBidi"/>
          <w:color w:val="auto"/>
          <w:kern w:val="2"/>
          <w:sz w:val="24"/>
          <w:szCs w:val="24"/>
          <w:highlight w:val="none"/>
          <w:lang w:val="en-US" w:eastAsia="zh-CN" w:bidi="ar-SA"/>
        </w:rPr>
        <w:t>年。</w:t>
      </w:r>
    </w:p>
    <w:p w14:paraId="057CE48E">
      <w:pPr>
        <w:spacing w:line="360" w:lineRule="auto"/>
        <w:ind w:firstLine="508" w:firstLineChars="212"/>
        <w:rPr>
          <w:rFonts w:hint="default" w:ascii="宋体" w:hAnsi="宋体" w:eastAsia="宋体"/>
          <w:color w:val="auto"/>
          <w:sz w:val="24"/>
          <w:highlight w:val="none"/>
          <w:lang w:val="en-US" w:eastAsia="zh-CN"/>
        </w:rPr>
      </w:pPr>
      <w:r>
        <w:rPr>
          <w:rFonts w:hint="eastAsia" w:ascii="宋体" w:hAnsi="宋体"/>
          <w:color w:val="auto"/>
          <w:sz w:val="24"/>
          <w:highlight w:val="none"/>
        </w:rPr>
        <w:t>售后服务按国家有关规定执行，双方</w:t>
      </w:r>
      <w:r>
        <w:rPr>
          <w:rFonts w:hint="eastAsia" w:ascii="宋体" w:hAnsi="宋体"/>
          <w:color w:val="auto"/>
          <w:sz w:val="24"/>
          <w:highlight w:val="none"/>
          <w:lang w:val="en-US" w:eastAsia="zh-CN"/>
        </w:rPr>
        <w:t>有特别约定的按特别</w:t>
      </w:r>
      <w:r>
        <w:rPr>
          <w:rFonts w:hint="eastAsia" w:ascii="宋体" w:hAnsi="宋体"/>
          <w:color w:val="auto"/>
          <w:sz w:val="24"/>
          <w:highlight w:val="none"/>
        </w:rPr>
        <w:t>约定执行。</w:t>
      </w:r>
      <w:r>
        <w:rPr>
          <w:rFonts w:hint="eastAsia" w:ascii="宋体" w:hAnsi="宋体"/>
          <w:color w:val="auto"/>
          <w:sz w:val="24"/>
          <w:highlight w:val="none"/>
          <w:lang w:eastAsia="zh-CN"/>
        </w:rPr>
        <w:t>所供货物</w:t>
      </w:r>
      <w:r>
        <w:rPr>
          <w:rFonts w:hint="eastAsia" w:ascii="宋体" w:hAnsi="宋体"/>
          <w:color w:val="auto"/>
          <w:sz w:val="24"/>
          <w:highlight w:val="none"/>
          <w:lang w:val="en-US" w:eastAsia="zh-CN"/>
        </w:rPr>
        <w:t>一切</w:t>
      </w:r>
      <w:r>
        <w:rPr>
          <w:rFonts w:hint="eastAsia" w:ascii="宋体" w:hAnsi="宋体"/>
          <w:color w:val="auto"/>
          <w:sz w:val="24"/>
          <w:highlight w:val="none"/>
          <w:lang w:eastAsia="zh-CN"/>
        </w:rPr>
        <w:t>严格</w:t>
      </w:r>
      <w:r>
        <w:rPr>
          <w:rFonts w:hint="eastAsia" w:ascii="宋体" w:hAnsi="宋体"/>
          <w:color w:val="auto"/>
          <w:sz w:val="24"/>
          <w:highlight w:val="none"/>
          <w:lang w:val="en-US" w:eastAsia="zh-CN"/>
        </w:rPr>
        <w:t>按投标参数及要求执行。</w:t>
      </w:r>
    </w:p>
    <w:p w14:paraId="5CCECBD4">
      <w:pPr>
        <w:spacing w:line="360" w:lineRule="auto"/>
        <w:ind w:firstLine="508" w:firstLineChars="212"/>
        <w:rPr>
          <w:rFonts w:hint="eastAsia" w:ascii="宋体" w:hAnsi="宋体"/>
          <w:color w:val="auto"/>
          <w:sz w:val="24"/>
          <w:highlight w:val="none"/>
        </w:rPr>
      </w:pPr>
      <w:r>
        <w:rPr>
          <w:rFonts w:hint="eastAsia" w:ascii="宋体" w:hAnsi="宋体"/>
          <w:color w:val="auto"/>
          <w:sz w:val="24"/>
          <w:highlight w:val="none"/>
        </w:rPr>
        <w:t>合同标的保修期自标的验收合格并签字盖章后开始计算。合同标的出现故障的，乙方必须在</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4</w:t>
      </w:r>
      <w:r>
        <w:rPr>
          <w:rFonts w:hint="eastAsia" w:ascii="宋体" w:hAnsi="宋体"/>
          <w:color w:val="auto"/>
          <w:sz w:val="24"/>
          <w:highlight w:val="none"/>
        </w:rPr>
        <w:t>小时内现场响应，</w:t>
      </w:r>
      <w:r>
        <w:rPr>
          <w:rFonts w:hint="eastAsia" w:ascii="宋体" w:hAnsi="宋体"/>
          <w:color w:val="auto"/>
          <w:sz w:val="24"/>
          <w:highlight w:val="none"/>
          <w:u w:val="single"/>
        </w:rPr>
        <w:t xml:space="preserve">  24 </w:t>
      </w:r>
      <w:r>
        <w:rPr>
          <w:rFonts w:hint="eastAsia" w:ascii="宋体" w:hAnsi="宋体"/>
          <w:color w:val="auto"/>
          <w:sz w:val="24"/>
          <w:highlight w:val="none"/>
        </w:rPr>
        <w:t>小时内修复或更换。乙方必须指导安装并参与调试。</w:t>
      </w:r>
    </w:p>
    <w:p w14:paraId="3FA15AD8">
      <w:pPr>
        <w:spacing w:line="360" w:lineRule="auto"/>
        <w:ind w:firstLine="482" w:firstLineChars="200"/>
        <w:rPr>
          <w:rFonts w:ascii="宋体" w:hAnsi="宋体"/>
          <w:b/>
          <w:bCs/>
          <w:color w:val="auto"/>
          <w:sz w:val="24"/>
          <w:highlight w:val="none"/>
        </w:rPr>
      </w:pPr>
      <w:r>
        <w:rPr>
          <w:rFonts w:hint="eastAsia" w:ascii="宋体" w:hAnsi="宋体"/>
          <w:b/>
          <w:bCs/>
          <w:color w:val="auto"/>
          <w:sz w:val="24"/>
          <w:highlight w:val="none"/>
        </w:rPr>
        <w:t>第七条：乙方承担合同标的供货及交付前的一切费用和市场风险。</w:t>
      </w:r>
    </w:p>
    <w:p w14:paraId="32EE61DD">
      <w:pPr>
        <w:spacing w:line="360" w:lineRule="auto"/>
        <w:ind w:firstLine="482" w:firstLineChars="200"/>
        <w:rPr>
          <w:rFonts w:hint="eastAsia" w:ascii="宋体" w:hAnsi="宋体"/>
          <w:b/>
          <w:bCs/>
          <w:color w:val="auto"/>
          <w:sz w:val="24"/>
          <w:highlight w:val="none"/>
        </w:rPr>
      </w:pPr>
      <w:r>
        <w:rPr>
          <w:rFonts w:hint="eastAsia" w:ascii="宋体" w:hAnsi="宋体"/>
          <w:b/>
          <w:bCs/>
          <w:color w:val="auto"/>
          <w:sz w:val="24"/>
          <w:highlight w:val="none"/>
        </w:rPr>
        <w:t>第八条：其他约定。</w:t>
      </w:r>
    </w:p>
    <w:p w14:paraId="324FC994">
      <w:pPr>
        <w:spacing w:line="360" w:lineRule="auto"/>
        <w:ind w:firstLine="480" w:firstLineChars="200"/>
        <w:rPr>
          <w:rFonts w:hint="eastAsia" w:ascii="宋体" w:hAnsi="宋体" w:eastAsia="宋体" w:cs="Courier New"/>
          <w:b w:val="0"/>
          <w:bCs w:val="0"/>
          <w:color w:val="auto"/>
          <w:kern w:val="0"/>
          <w:sz w:val="24"/>
          <w:highlight w:val="yellow"/>
          <w:lang w:val="en-US" w:eastAsia="zh-CN"/>
        </w:rPr>
      </w:pPr>
      <w:r>
        <w:rPr>
          <w:rFonts w:hint="eastAsia" w:ascii="宋体" w:hAnsi="宋体" w:cs="Courier New"/>
          <w:b w:val="0"/>
          <w:bCs w:val="0"/>
          <w:color w:val="auto"/>
          <w:kern w:val="0"/>
          <w:sz w:val="24"/>
          <w:highlight w:val="yellow"/>
          <w:lang w:eastAsia="zh-CN"/>
        </w:rPr>
        <w:t>甲方有权</w:t>
      </w:r>
      <w:r>
        <w:rPr>
          <w:rFonts w:hint="eastAsia" w:ascii="宋体" w:hAnsi="宋体" w:cs="Courier New"/>
          <w:b w:val="0"/>
          <w:bCs w:val="0"/>
          <w:color w:val="auto"/>
          <w:kern w:val="0"/>
          <w:sz w:val="24"/>
          <w:highlight w:val="yellow"/>
          <w:lang w:val="en-US" w:eastAsia="zh-CN"/>
        </w:rPr>
        <w:t>根据</w:t>
      </w:r>
      <w:r>
        <w:rPr>
          <w:rFonts w:hint="eastAsia" w:ascii="宋体" w:hAnsi="宋体" w:cs="Courier New"/>
          <w:b w:val="0"/>
          <w:bCs w:val="0"/>
          <w:color w:val="auto"/>
          <w:kern w:val="0"/>
          <w:sz w:val="24"/>
          <w:highlight w:val="yellow"/>
          <w:lang w:eastAsia="zh-CN"/>
        </w:rPr>
        <w:t>工程施工实际情况调整材料数量，</w:t>
      </w:r>
      <w:r>
        <w:rPr>
          <w:rFonts w:hint="eastAsia" w:ascii="宋体" w:hAnsi="宋体" w:cs="Courier New"/>
          <w:b w:val="0"/>
          <w:bCs w:val="0"/>
          <w:color w:val="auto"/>
          <w:kern w:val="0"/>
          <w:sz w:val="24"/>
          <w:highlight w:val="yellow"/>
        </w:rPr>
        <w:t>合同的最终结算金额按实际供货数量乘以中标单价进行计算</w:t>
      </w:r>
      <w:r>
        <w:rPr>
          <w:rFonts w:hint="eastAsia" w:ascii="宋体" w:hAnsi="宋体" w:cs="Courier New"/>
          <w:b w:val="0"/>
          <w:bCs w:val="0"/>
          <w:color w:val="auto"/>
          <w:kern w:val="0"/>
          <w:sz w:val="24"/>
          <w:highlight w:val="yellow"/>
          <w:lang w:val="en-US" w:eastAsia="zh-CN"/>
        </w:rPr>
        <w:t>,且结算金额不超过合同总价。</w:t>
      </w:r>
    </w:p>
    <w:p w14:paraId="64F8B348">
      <w:pPr>
        <w:pStyle w:val="2"/>
        <w:rPr>
          <w:highlight w:val="none"/>
        </w:rPr>
      </w:pPr>
      <w:r>
        <w:rPr>
          <w:rFonts w:hint="eastAsia" w:cs="Courier New"/>
          <w:b/>
          <w:bCs/>
          <w:kern w:val="0"/>
          <w:sz w:val="24"/>
          <w:lang w:val="en-US" w:eastAsia="zh-CN"/>
        </w:rPr>
        <w:t xml:space="preserve">  </w:t>
      </w:r>
      <w:r>
        <w:rPr>
          <w:rFonts w:hint="eastAsia"/>
          <w:b/>
          <w:bCs/>
          <w:highlight w:val="none"/>
        </w:rPr>
        <w:t xml:space="preserve">  </w:t>
      </w:r>
      <w:r>
        <w:rPr>
          <w:rFonts w:hint="eastAsia"/>
          <w:b/>
          <w:bCs/>
          <w:highlight w:val="none"/>
          <w:lang w:val="en-US" w:eastAsia="zh-CN"/>
        </w:rPr>
        <w:t xml:space="preserve">  </w:t>
      </w:r>
      <w:r>
        <w:rPr>
          <w:rFonts w:hint="eastAsia"/>
          <w:b/>
          <w:bCs/>
          <w:highlight w:val="none"/>
        </w:rPr>
        <w:t>第九条：违约责任。</w:t>
      </w:r>
    </w:p>
    <w:p w14:paraId="1E5223D5">
      <w:pPr>
        <w:spacing w:line="360" w:lineRule="auto"/>
        <w:ind w:firstLine="508" w:firstLineChars="212"/>
        <w:rPr>
          <w:rFonts w:hint="eastAsia" w:ascii="宋体" w:hAnsi="宋体" w:eastAsia="宋体"/>
          <w:sz w:val="24"/>
          <w:highlight w:val="none"/>
          <w:lang w:val="en-US" w:eastAsia="zh-CN"/>
        </w:rPr>
      </w:pPr>
      <w:r>
        <w:rPr>
          <w:rFonts w:hint="eastAsia" w:ascii="宋体" w:hAnsi="宋体"/>
          <w:sz w:val="24"/>
          <w:highlight w:val="none"/>
        </w:rPr>
        <w:t>由于乙方原因（除不可抗力外）不能按期交付合同标的，</w:t>
      </w:r>
      <w:r>
        <w:rPr>
          <w:rFonts w:hint="eastAsia" w:ascii="宋体" w:hAnsi="宋体"/>
          <w:sz w:val="24"/>
          <w:highlight w:val="none"/>
          <w:lang w:val="en-US" w:eastAsia="zh-CN"/>
        </w:rPr>
        <w:t>每延期一日</w:t>
      </w:r>
      <w:r>
        <w:rPr>
          <w:rFonts w:hint="eastAsia" w:ascii="宋体" w:hAnsi="宋体"/>
          <w:sz w:val="24"/>
          <w:highlight w:val="none"/>
        </w:rPr>
        <w:t>，乙方应按合同总价款的</w:t>
      </w:r>
      <w:r>
        <w:rPr>
          <w:rFonts w:hint="eastAsia" w:ascii="宋体" w:hAnsi="宋体"/>
          <w:sz w:val="24"/>
          <w:highlight w:val="none"/>
          <w:u w:val="single"/>
        </w:rPr>
        <w:t xml:space="preserve">  3 ‰ </w:t>
      </w:r>
      <w:r>
        <w:rPr>
          <w:rFonts w:hint="eastAsia" w:ascii="宋体" w:hAnsi="宋体"/>
          <w:sz w:val="24"/>
          <w:highlight w:val="none"/>
          <w:u w:val="none"/>
          <w:lang w:val="en-US" w:eastAsia="zh-CN"/>
        </w:rPr>
        <w:t>向甲方支付</w:t>
      </w:r>
      <w:r>
        <w:rPr>
          <w:rFonts w:hint="eastAsia" w:ascii="宋体" w:hAnsi="宋体"/>
          <w:sz w:val="24"/>
          <w:highlight w:val="none"/>
        </w:rPr>
        <w:t>违约金，在合同货款支付时一次性扣除，若超出交付期十天（含十天）以上的，甲方有权</w:t>
      </w:r>
      <w:r>
        <w:rPr>
          <w:rFonts w:hint="eastAsia" w:ascii="宋体" w:hAnsi="宋体"/>
          <w:sz w:val="24"/>
          <w:highlight w:val="none"/>
          <w:lang w:val="en-US" w:eastAsia="zh-CN"/>
        </w:rPr>
        <w:t>解除</w:t>
      </w:r>
      <w:r>
        <w:rPr>
          <w:rFonts w:hint="eastAsia" w:ascii="宋体" w:hAnsi="宋体"/>
          <w:sz w:val="24"/>
          <w:highlight w:val="none"/>
        </w:rPr>
        <w:t>合同。</w:t>
      </w:r>
      <w:r>
        <w:rPr>
          <w:rFonts w:hint="eastAsia" w:ascii="宋体" w:hAnsi="宋体"/>
          <w:sz w:val="24"/>
          <w:highlight w:val="none"/>
          <w:lang w:val="en-US" w:eastAsia="zh-CN"/>
        </w:rPr>
        <w:t>甲方决定解除合同的，乙方应按</w:t>
      </w:r>
      <w:r>
        <w:rPr>
          <w:rFonts w:hint="eastAsia" w:ascii="宋体" w:hAnsi="宋体"/>
          <w:sz w:val="24"/>
          <w:highlight w:val="none"/>
        </w:rPr>
        <w:t>合同总价款的</w:t>
      </w:r>
      <w:r>
        <w:rPr>
          <w:rFonts w:hint="eastAsia" w:ascii="宋体" w:hAnsi="宋体"/>
          <w:sz w:val="24"/>
          <w:highlight w:val="none"/>
          <w:u w:val="single"/>
        </w:rPr>
        <w:t xml:space="preserve">  </w:t>
      </w:r>
      <w:r>
        <w:rPr>
          <w:rFonts w:hint="eastAsia" w:ascii="宋体" w:hAnsi="宋体"/>
          <w:sz w:val="24"/>
          <w:highlight w:val="none"/>
          <w:u w:val="single"/>
          <w:lang w:val="en-US" w:eastAsia="zh-CN"/>
        </w:rPr>
        <w:t>10%</w:t>
      </w:r>
      <w:r>
        <w:rPr>
          <w:rFonts w:hint="eastAsia" w:ascii="宋体" w:hAnsi="宋体"/>
          <w:sz w:val="24"/>
          <w:highlight w:val="none"/>
          <w:u w:val="single"/>
        </w:rPr>
        <w:t xml:space="preserve"> </w:t>
      </w:r>
      <w:r>
        <w:rPr>
          <w:rFonts w:hint="eastAsia" w:ascii="宋体" w:hAnsi="宋体"/>
          <w:sz w:val="24"/>
          <w:highlight w:val="none"/>
          <w:u w:val="none"/>
          <w:lang w:val="en-US" w:eastAsia="zh-CN"/>
        </w:rPr>
        <w:t>向甲方支付</w:t>
      </w:r>
      <w:r>
        <w:rPr>
          <w:rFonts w:hint="eastAsia" w:ascii="宋体" w:hAnsi="宋体"/>
          <w:sz w:val="24"/>
          <w:highlight w:val="none"/>
        </w:rPr>
        <w:t>违约金</w:t>
      </w:r>
      <w:r>
        <w:rPr>
          <w:rFonts w:hint="eastAsia" w:ascii="宋体" w:hAnsi="宋体"/>
          <w:sz w:val="24"/>
          <w:highlight w:val="none"/>
          <w:lang w:eastAsia="zh-CN"/>
        </w:rPr>
        <w:t>。</w:t>
      </w:r>
    </w:p>
    <w:p w14:paraId="7ACA9A49">
      <w:pPr>
        <w:spacing w:line="360" w:lineRule="auto"/>
        <w:ind w:firstLine="508" w:firstLineChars="212"/>
        <w:rPr>
          <w:rFonts w:hint="eastAsia" w:ascii="宋体" w:hAnsi="宋体"/>
          <w:sz w:val="24"/>
          <w:highlight w:val="none"/>
        </w:rPr>
      </w:pPr>
      <w:r>
        <w:rPr>
          <w:rFonts w:hint="eastAsia" w:ascii="宋体" w:hAnsi="宋体"/>
          <w:sz w:val="24"/>
          <w:highlight w:val="none"/>
          <w:lang w:val="en-US" w:eastAsia="zh-CN"/>
        </w:rPr>
        <w:t>甲方不按合同约定期限支付货款的</w:t>
      </w:r>
      <w:r>
        <w:rPr>
          <w:rFonts w:hint="eastAsia" w:ascii="宋体" w:hAnsi="宋体"/>
          <w:sz w:val="24"/>
          <w:highlight w:val="none"/>
        </w:rPr>
        <w:t>，</w:t>
      </w:r>
      <w:r>
        <w:rPr>
          <w:rFonts w:hint="eastAsia" w:ascii="宋体" w:hAnsi="宋体"/>
          <w:sz w:val="24"/>
          <w:highlight w:val="none"/>
          <w:lang w:val="en-US" w:eastAsia="zh-CN"/>
        </w:rPr>
        <w:t>每延期一日</w:t>
      </w:r>
      <w:r>
        <w:rPr>
          <w:rFonts w:hint="eastAsia" w:ascii="宋体" w:hAnsi="宋体"/>
          <w:sz w:val="24"/>
          <w:highlight w:val="none"/>
        </w:rPr>
        <w:t>，应向乙方支付</w:t>
      </w:r>
      <w:r>
        <w:rPr>
          <w:rFonts w:hint="eastAsia" w:ascii="宋体" w:hAnsi="宋体"/>
          <w:sz w:val="24"/>
          <w:highlight w:val="none"/>
          <w:lang w:val="en-US" w:eastAsia="zh-CN"/>
        </w:rPr>
        <w:t>应付金额</w:t>
      </w:r>
      <w:r>
        <w:rPr>
          <w:rFonts w:hint="eastAsia" w:ascii="宋体" w:hAnsi="宋体"/>
          <w:sz w:val="24"/>
          <w:highlight w:val="none"/>
          <w:u w:val="single"/>
        </w:rPr>
        <w:t xml:space="preserve">  3 ‰ </w:t>
      </w:r>
      <w:r>
        <w:rPr>
          <w:rFonts w:hint="eastAsia" w:ascii="宋体" w:hAnsi="宋体"/>
          <w:sz w:val="24"/>
          <w:highlight w:val="none"/>
          <w:u w:val="none"/>
          <w:lang w:eastAsia="zh-CN"/>
        </w:rPr>
        <w:t>的</w:t>
      </w:r>
      <w:r>
        <w:rPr>
          <w:rFonts w:hint="eastAsia" w:ascii="宋体" w:hAnsi="宋体"/>
          <w:sz w:val="24"/>
          <w:highlight w:val="none"/>
          <w:u w:val="none"/>
          <w:lang w:val="en-US" w:eastAsia="zh-CN"/>
        </w:rPr>
        <w:t>违约</w:t>
      </w:r>
      <w:r>
        <w:rPr>
          <w:rFonts w:hint="eastAsia" w:ascii="宋体" w:hAnsi="宋体"/>
          <w:sz w:val="24"/>
          <w:highlight w:val="none"/>
        </w:rPr>
        <w:t>金。</w:t>
      </w:r>
    </w:p>
    <w:p w14:paraId="627A0844">
      <w:pPr>
        <w:spacing w:line="360" w:lineRule="auto"/>
        <w:ind w:firstLine="508" w:firstLineChars="212"/>
        <w:rPr>
          <w:rFonts w:hint="eastAsia" w:ascii="宋体" w:hAnsi="宋体"/>
          <w:sz w:val="24"/>
          <w:highlight w:val="none"/>
        </w:rPr>
      </w:pPr>
      <w:r>
        <w:rPr>
          <w:rFonts w:hint="eastAsia" w:ascii="宋体" w:hAnsi="宋体"/>
          <w:sz w:val="24"/>
          <w:highlight w:val="none"/>
        </w:rPr>
        <w:t>如遇特殊情况</w:t>
      </w:r>
      <w:r>
        <w:rPr>
          <w:rFonts w:hint="eastAsia" w:ascii="宋体" w:hAnsi="宋体"/>
          <w:sz w:val="24"/>
          <w:highlight w:val="none"/>
          <w:lang w:val="en-US" w:eastAsia="zh-CN"/>
        </w:rPr>
        <w:t>甲方</w:t>
      </w:r>
      <w:r>
        <w:rPr>
          <w:rFonts w:hint="eastAsia" w:ascii="宋体" w:hAnsi="宋体"/>
          <w:sz w:val="24"/>
          <w:highlight w:val="none"/>
        </w:rPr>
        <w:t>要求推迟供货或验收的，必须事先征得乙方的同意，否则应承担由此给乙方造成的损失。</w:t>
      </w:r>
    </w:p>
    <w:p w14:paraId="00FAEB11">
      <w:pPr>
        <w:pStyle w:val="2"/>
        <w:rPr>
          <w:rFonts w:hint="default" w:eastAsia="宋体"/>
          <w:highlight w:val="none"/>
          <w:lang w:val="en-US" w:eastAsia="zh-CN"/>
        </w:rPr>
      </w:pPr>
      <w:r>
        <w:rPr>
          <w:rFonts w:hint="eastAsia"/>
          <w:sz w:val="24"/>
          <w:highlight w:val="none"/>
          <w:lang w:val="en-US" w:eastAsia="zh-CN"/>
        </w:rPr>
        <w:t xml:space="preserve">    乙方不按本合同约定提供售后服务的，甲方有权委托第三方代为履行相关义务，第三方代履行的相关费用由乙方承担。</w:t>
      </w:r>
    </w:p>
    <w:p w14:paraId="2FEEB86E">
      <w:pPr>
        <w:spacing w:line="360" w:lineRule="auto"/>
        <w:ind w:firstLine="482" w:firstLineChars="200"/>
        <w:rPr>
          <w:rFonts w:ascii="宋体" w:hAnsi="宋体"/>
          <w:b/>
          <w:bCs/>
          <w:sz w:val="24"/>
          <w:highlight w:val="none"/>
        </w:rPr>
      </w:pPr>
      <w:r>
        <w:rPr>
          <w:rFonts w:hint="eastAsia" w:ascii="宋体" w:hAnsi="宋体"/>
          <w:b/>
          <w:bCs/>
          <w:sz w:val="24"/>
          <w:highlight w:val="none"/>
        </w:rPr>
        <w:t>第十条：争议的解决。</w:t>
      </w:r>
    </w:p>
    <w:p w14:paraId="6467922A">
      <w:pPr>
        <w:spacing w:line="360" w:lineRule="auto"/>
        <w:ind w:firstLine="480" w:firstLineChars="200"/>
        <w:rPr>
          <w:rFonts w:ascii="宋体" w:hAnsi="宋体"/>
          <w:sz w:val="24"/>
        </w:rPr>
      </w:pPr>
      <w:r>
        <w:rPr>
          <w:rFonts w:hint="eastAsia" w:ascii="宋体" w:hAnsi="宋体"/>
          <w:sz w:val="24"/>
          <w:highlight w:val="none"/>
        </w:rPr>
        <w:t>1.</w:t>
      </w:r>
      <w:r>
        <w:rPr>
          <w:rFonts w:hint="eastAsia" w:ascii="宋体" w:hAnsi="宋体"/>
          <w:sz w:val="24"/>
          <w:highlight w:val="none"/>
          <w:lang w:eastAsia="zh-CN"/>
        </w:rPr>
        <w:t>甲方对产品质量等其他产生质疑的，须对货物进行抽检送检，一切费用由乙方承担</w:t>
      </w:r>
      <w:r>
        <w:rPr>
          <w:rFonts w:hint="eastAsia" w:ascii="宋体" w:hAnsi="宋体"/>
          <w:sz w:val="24"/>
          <w:highlight w:val="none"/>
        </w:rPr>
        <w:t>，由甲方委托有关技术部门进行质量</w:t>
      </w:r>
      <w:r>
        <w:rPr>
          <w:rFonts w:hint="eastAsia" w:ascii="宋体" w:hAnsi="宋体"/>
          <w:sz w:val="24"/>
          <w:highlight w:val="none"/>
          <w:lang w:val="en-US" w:eastAsia="zh-CN"/>
        </w:rPr>
        <w:t>鉴定</w:t>
      </w:r>
      <w:r>
        <w:rPr>
          <w:rFonts w:hint="eastAsia" w:ascii="宋体" w:hAnsi="宋体"/>
          <w:sz w:val="24"/>
          <w:highlight w:val="none"/>
        </w:rPr>
        <w:t>，</w:t>
      </w:r>
      <w:r>
        <w:rPr>
          <w:rFonts w:hint="eastAsia" w:ascii="宋体" w:hAnsi="宋体"/>
          <w:sz w:val="24"/>
        </w:rPr>
        <w:t>该鉴定的结论甲乙双方应当接受，各方均有权直接向对方索赔，并签订书面处理协议书，报有关部门备案。</w:t>
      </w:r>
    </w:p>
    <w:p w14:paraId="2BE83817">
      <w:pPr>
        <w:spacing w:line="360" w:lineRule="auto"/>
        <w:ind w:firstLine="480" w:firstLineChars="200"/>
        <w:rPr>
          <w:rFonts w:hint="eastAsia"/>
          <w:sz w:val="24"/>
        </w:rPr>
      </w:pPr>
      <w:r>
        <w:rPr>
          <w:rFonts w:hint="eastAsia"/>
          <w:sz w:val="24"/>
        </w:rPr>
        <w:t>2.双方无法通过协商解决合同争议的，任何一方有权向合同签订地人民法院提出诉讼</w:t>
      </w:r>
      <w:r>
        <w:rPr>
          <w:rFonts w:hint="eastAsia"/>
          <w:sz w:val="24"/>
          <w:lang w:eastAsia="zh-CN"/>
        </w:rPr>
        <w:t>。</w:t>
      </w:r>
    </w:p>
    <w:p w14:paraId="30061E67">
      <w:pPr>
        <w:spacing w:line="360" w:lineRule="auto"/>
        <w:ind w:firstLine="482" w:firstLineChars="200"/>
        <w:rPr>
          <w:b/>
          <w:bCs/>
          <w:sz w:val="24"/>
        </w:rPr>
      </w:pPr>
      <w:r>
        <w:rPr>
          <w:rFonts w:hint="eastAsia"/>
          <w:b/>
          <w:bCs/>
          <w:sz w:val="24"/>
        </w:rPr>
        <w:t>第十一条：合同的文本及生效</w:t>
      </w:r>
    </w:p>
    <w:p w14:paraId="48F9CACD">
      <w:pPr>
        <w:spacing w:line="360" w:lineRule="auto"/>
        <w:ind w:firstLine="480" w:firstLineChars="200"/>
        <w:rPr>
          <w:sz w:val="24"/>
        </w:rPr>
      </w:pPr>
      <w:r>
        <w:rPr>
          <w:rFonts w:hint="eastAsia"/>
          <w:sz w:val="24"/>
        </w:rPr>
        <w:t>1、本合同一式四份，甲方</w:t>
      </w:r>
      <w:r>
        <w:rPr>
          <w:rFonts w:hint="eastAsia"/>
          <w:sz w:val="24"/>
          <w:lang w:eastAsia="zh-CN"/>
        </w:rPr>
        <w:t>三</w:t>
      </w:r>
      <w:r>
        <w:rPr>
          <w:rFonts w:hint="eastAsia"/>
          <w:sz w:val="24"/>
        </w:rPr>
        <w:t>份，乙方</w:t>
      </w:r>
      <w:r>
        <w:rPr>
          <w:rFonts w:hint="eastAsia"/>
          <w:sz w:val="24"/>
          <w:lang w:eastAsia="zh-CN"/>
        </w:rPr>
        <w:t>一</w:t>
      </w:r>
      <w:r>
        <w:rPr>
          <w:rFonts w:hint="eastAsia"/>
          <w:sz w:val="24"/>
        </w:rPr>
        <w:t>份。</w:t>
      </w:r>
    </w:p>
    <w:p w14:paraId="12954B4F">
      <w:pPr>
        <w:spacing w:line="360" w:lineRule="auto"/>
        <w:ind w:firstLine="480" w:firstLineChars="200"/>
        <w:rPr>
          <w:sz w:val="24"/>
        </w:rPr>
      </w:pPr>
      <w:r>
        <w:rPr>
          <w:rFonts w:hint="eastAsia"/>
          <w:sz w:val="24"/>
        </w:rPr>
        <w:t>2、本合同经甲乙双方法定代表人或委托代理人签字并加盖公章后即生效。传真件及扫描件</w:t>
      </w:r>
      <w:r>
        <w:rPr>
          <w:rFonts w:hint="eastAsia"/>
          <w:sz w:val="24"/>
          <w:highlight w:val="none"/>
        </w:rPr>
        <w:t>具有</w:t>
      </w:r>
      <w:r>
        <w:rPr>
          <w:rFonts w:hint="eastAsia"/>
          <w:sz w:val="24"/>
          <w:highlight w:val="none"/>
          <w:lang w:val="en-US" w:eastAsia="zh-CN"/>
        </w:rPr>
        <w:t>同等</w:t>
      </w:r>
      <w:r>
        <w:rPr>
          <w:rFonts w:hint="eastAsia"/>
          <w:sz w:val="24"/>
          <w:highlight w:val="none"/>
        </w:rPr>
        <w:t>法律</w:t>
      </w:r>
      <w:r>
        <w:rPr>
          <w:rFonts w:hint="eastAsia"/>
          <w:sz w:val="24"/>
          <w:highlight w:val="none"/>
          <w:lang w:val="en-US" w:eastAsia="zh-CN"/>
        </w:rPr>
        <w:t>效力</w:t>
      </w:r>
      <w:r>
        <w:rPr>
          <w:rFonts w:hint="eastAsia"/>
          <w:sz w:val="24"/>
          <w:highlight w:val="none"/>
        </w:rPr>
        <w:t>。</w:t>
      </w:r>
    </w:p>
    <w:p w14:paraId="060B1B4F">
      <w:pPr>
        <w:spacing w:line="360" w:lineRule="auto"/>
        <w:ind w:firstLine="480" w:firstLineChars="200"/>
        <w:rPr>
          <w:sz w:val="24"/>
        </w:rPr>
      </w:pPr>
      <w:r>
        <w:rPr>
          <w:rFonts w:hint="eastAsia"/>
          <w:sz w:val="24"/>
        </w:rPr>
        <w:t>3、本合同未尽事宜，经双方商议可续签补充协议。该补充协议与本合同具有相同法律效力。</w:t>
      </w:r>
    </w:p>
    <w:p w14:paraId="2F29C333">
      <w:pPr>
        <w:spacing w:line="360" w:lineRule="auto"/>
        <w:ind w:firstLine="480" w:firstLineChars="200"/>
      </w:pPr>
      <w:r>
        <w:rPr>
          <w:rFonts w:hint="eastAsia"/>
          <w:sz w:val="24"/>
        </w:rPr>
        <w:t>4、本合同</w:t>
      </w:r>
      <w:r>
        <w:rPr>
          <w:rFonts w:hint="eastAsia"/>
          <w:sz w:val="24"/>
          <w:highlight w:val="none"/>
        </w:rPr>
        <w:t>未涉及的</w:t>
      </w:r>
      <w:r>
        <w:rPr>
          <w:rFonts w:hint="eastAsia"/>
          <w:sz w:val="24"/>
          <w:highlight w:val="none"/>
          <w:lang w:val="en-US" w:eastAsia="zh-CN"/>
        </w:rPr>
        <w:t>事项按</w:t>
      </w:r>
      <w:r>
        <w:rPr>
          <w:rFonts w:hint="eastAsia"/>
          <w:sz w:val="24"/>
          <w:highlight w:val="none"/>
        </w:rPr>
        <w:t>乙方针对本项目报价文件</w:t>
      </w:r>
      <w:r>
        <w:rPr>
          <w:rFonts w:hint="eastAsia"/>
          <w:sz w:val="24"/>
          <w:highlight w:val="none"/>
          <w:lang w:val="en-US" w:eastAsia="zh-CN"/>
        </w:rPr>
        <w:t>执行。乙方报价文件</w:t>
      </w:r>
      <w:r>
        <w:rPr>
          <w:rFonts w:hint="eastAsia"/>
          <w:sz w:val="24"/>
          <w:highlight w:val="none"/>
        </w:rPr>
        <w:t>与本合同的规定不一致时，以</w:t>
      </w:r>
      <w:r>
        <w:rPr>
          <w:rFonts w:hint="eastAsia"/>
          <w:sz w:val="24"/>
          <w:highlight w:val="none"/>
          <w:lang w:val="en-US" w:eastAsia="zh-CN"/>
        </w:rPr>
        <w:t>本</w:t>
      </w:r>
      <w:r>
        <w:rPr>
          <w:rFonts w:hint="eastAsia"/>
          <w:sz w:val="24"/>
          <w:highlight w:val="none"/>
        </w:rPr>
        <w:t>合同为准。</w:t>
      </w:r>
    </w:p>
    <w:p w14:paraId="44948D39">
      <w:pPr>
        <w:spacing w:line="360" w:lineRule="auto"/>
        <w:rPr>
          <w:rFonts w:hint="eastAsia" w:eastAsia="宋体"/>
          <w:sz w:val="24"/>
          <w:lang w:eastAsia="zh-CN"/>
        </w:rPr>
      </w:pPr>
      <w:r>
        <w:rPr>
          <w:rFonts w:hint="eastAsia"/>
          <w:sz w:val="24"/>
        </w:rPr>
        <w:t xml:space="preserve">甲方（盖章）: </w:t>
      </w:r>
      <w:r>
        <w:rPr>
          <w:rFonts w:hint="eastAsia"/>
          <w:sz w:val="24"/>
          <w:lang w:val="en-US" w:eastAsia="zh-CN"/>
        </w:rPr>
        <w:t xml:space="preserve">                          </w:t>
      </w:r>
      <w:r>
        <w:rPr>
          <w:rFonts w:hint="eastAsia"/>
          <w:sz w:val="24"/>
          <w:u w:val="none"/>
        </w:rPr>
        <w:t xml:space="preserve"> </w:t>
      </w:r>
      <w:r>
        <w:rPr>
          <w:rFonts w:hint="eastAsia"/>
          <w:sz w:val="24"/>
          <w:u w:val="none"/>
          <w:lang w:val="en-US" w:eastAsia="zh-CN"/>
        </w:rPr>
        <w:t xml:space="preserve">  </w:t>
      </w:r>
      <w:r>
        <w:rPr>
          <w:rFonts w:hint="eastAsia"/>
          <w:sz w:val="24"/>
        </w:rPr>
        <w:t>乙方（盖章）:</w:t>
      </w:r>
    </w:p>
    <w:p w14:paraId="712734AB">
      <w:pPr>
        <w:pStyle w:val="2"/>
        <w:rPr>
          <w:rFonts w:hint="default" w:eastAsia="宋体"/>
          <w:lang w:val="en-US" w:eastAsia="zh-CN"/>
        </w:rPr>
      </w:pPr>
      <w:r>
        <w:rPr>
          <w:rFonts w:hint="eastAsia"/>
          <w:sz w:val="24"/>
          <w:lang w:val="en-US" w:eastAsia="zh-CN"/>
        </w:rPr>
        <w:t xml:space="preserve">            </w:t>
      </w:r>
      <w:r>
        <w:rPr>
          <w:rFonts w:hint="eastAsia" w:cs="宋体"/>
          <w:sz w:val="24"/>
          <w:szCs w:val="24"/>
          <w:u w:val="none"/>
          <w:lang w:val="en-US" w:eastAsia="zh-CN"/>
        </w:rPr>
        <w:t xml:space="preserve">             </w:t>
      </w:r>
    </w:p>
    <w:p w14:paraId="77664A0F">
      <w:pPr>
        <w:spacing w:line="360" w:lineRule="auto"/>
        <w:rPr>
          <w:sz w:val="24"/>
        </w:rPr>
      </w:pPr>
      <w:r>
        <w:rPr>
          <w:rFonts w:hint="eastAsia"/>
          <w:sz w:val="24"/>
        </w:rPr>
        <w:t xml:space="preserve">法定代表人：                        </w:t>
      </w:r>
      <w:r>
        <w:rPr>
          <w:rFonts w:hint="eastAsia"/>
          <w:sz w:val="24"/>
          <w:lang w:val="en-US" w:eastAsia="zh-CN"/>
        </w:rPr>
        <w:t xml:space="preserve">  </w:t>
      </w:r>
      <w:r>
        <w:rPr>
          <w:rFonts w:hint="eastAsia"/>
          <w:sz w:val="24"/>
        </w:rPr>
        <w:t xml:space="preserve">     法定代表人：</w:t>
      </w:r>
    </w:p>
    <w:p w14:paraId="4BA5FF21">
      <w:pPr>
        <w:spacing w:line="360" w:lineRule="auto"/>
        <w:rPr>
          <w:rFonts w:hint="eastAsia"/>
          <w:sz w:val="24"/>
          <w:lang w:val="en-US" w:eastAsia="zh-CN"/>
        </w:rPr>
      </w:pPr>
      <w:r>
        <w:rPr>
          <w:rFonts w:hint="eastAsia"/>
          <w:sz w:val="24"/>
        </w:rPr>
        <w:t xml:space="preserve">或委托代表人：                           </w:t>
      </w:r>
      <w:r>
        <w:rPr>
          <w:rFonts w:hint="eastAsia"/>
          <w:sz w:val="24"/>
          <w:lang w:val="en-US" w:eastAsia="zh-CN"/>
        </w:rPr>
        <w:t xml:space="preserve">  </w:t>
      </w:r>
      <w:r>
        <w:rPr>
          <w:rFonts w:hint="eastAsia"/>
          <w:sz w:val="24"/>
        </w:rPr>
        <w:t xml:space="preserve">或委托代表人：  </w:t>
      </w:r>
      <w:r>
        <w:rPr>
          <w:rFonts w:hint="eastAsia"/>
          <w:sz w:val="24"/>
          <w:lang w:val="en-US" w:eastAsia="zh-CN"/>
        </w:rPr>
        <w:t xml:space="preserve">              </w:t>
      </w:r>
    </w:p>
    <w:p w14:paraId="1DA68E32">
      <w:pPr>
        <w:spacing w:line="360" w:lineRule="auto"/>
        <w:rPr>
          <w:rFonts w:hint="default" w:eastAsia="宋体"/>
          <w:sz w:val="24"/>
          <w:lang w:val="en-US" w:eastAsia="zh-CN"/>
        </w:rPr>
      </w:pPr>
      <w:r>
        <w:rPr>
          <w:rFonts w:hint="eastAsia"/>
          <w:sz w:val="24"/>
          <w:lang w:val="en-US" w:eastAsia="zh-CN"/>
        </w:rPr>
        <w:t xml:space="preserve">税号：               </w:t>
      </w:r>
    </w:p>
    <w:p w14:paraId="74F33AAA">
      <w:pPr>
        <w:spacing w:line="360" w:lineRule="auto"/>
        <w:rPr>
          <w:sz w:val="24"/>
        </w:rPr>
      </w:pPr>
      <w:r>
        <w:rPr>
          <w:rFonts w:hint="eastAsia"/>
          <w:sz w:val="24"/>
        </w:rPr>
        <w:t>开户银行</w:t>
      </w:r>
      <w:r>
        <w:rPr>
          <w:rFonts w:hint="eastAsia"/>
          <w:sz w:val="24"/>
          <w:lang w:eastAsia="zh-CN"/>
        </w:rPr>
        <w:t>：</w:t>
      </w:r>
      <w:r>
        <w:rPr>
          <w:rFonts w:hint="eastAsia"/>
          <w:sz w:val="24"/>
        </w:rPr>
        <w:t xml:space="preserve">   </w:t>
      </w:r>
      <w:r>
        <w:rPr>
          <w:rFonts w:hint="eastAsia"/>
          <w:sz w:val="24"/>
          <w:lang w:val="en-US" w:eastAsia="zh-CN"/>
        </w:rPr>
        <w:t xml:space="preserve">                       </w:t>
      </w:r>
      <w:r>
        <w:rPr>
          <w:rFonts w:hint="eastAsia"/>
          <w:sz w:val="24"/>
        </w:rPr>
        <w:t xml:space="preserve">  </w:t>
      </w:r>
      <w:r>
        <w:rPr>
          <w:rFonts w:hint="eastAsia"/>
          <w:sz w:val="24"/>
          <w:lang w:val="en-US" w:eastAsia="zh-CN"/>
        </w:rPr>
        <w:t xml:space="preserve">  </w:t>
      </w:r>
      <w:r>
        <w:rPr>
          <w:rFonts w:hint="eastAsia"/>
          <w:sz w:val="24"/>
        </w:rPr>
        <w:t xml:space="preserve">   开户银行：  </w:t>
      </w:r>
    </w:p>
    <w:p w14:paraId="52E0F9A4">
      <w:pPr>
        <w:spacing w:line="360" w:lineRule="auto"/>
        <w:rPr>
          <w:sz w:val="24"/>
        </w:rPr>
      </w:pPr>
      <w:r>
        <w:rPr>
          <w:rFonts w:hint="eastAsia"/>
          <w:sz w:val="24"/>
        </w:rPr>
        <w:t>账号</w:t>
      </w:r>
      <w:r>
        <w:rPr>
          <w:rFonts w:hint="eastAsia"/>
          <w:sz w:val="24"/>
          <w:lang w:eastAsia="zh-CN"/>
        </w:rPr>
        <w:t xml:space="preserve">：           </w:t>
      </w:r>
      <w:r>
        <w:rPr>
          <w:rFonts w:hint="eastAsia"/>
          <w:sz w:val="24"/>
          <w:lang w:val="en-US" w:eastAsia="zh-CN"/>
        </w:rPr>
        <w:t xml:space="preserve">                         </w:t>
      </w:r>
      <w:r>
        <w:rPr>
          <w:rFonts w:hint="eastAsia"/>
          <w:sz w:val="24"/>
          <w:lang w:eastAsia="zh-CN"/>
        </w:rPr>
        <w:t xml:space="preserve"> </w:t>
      </w:r>
      <w:r>
        <w:rPr>
          <w:rFonts w:hint="eastAsia"/>
          <w:sz w:val="24"/>
        </w:rPr>
        <w:t xml:space="preserve">账号：  </w:t>
      </w:r>
    </w:p>
    <w:p w14:paraId="37EEA75E">
      <w:pPr>
        <w:spacing w:line="360" w:lineRule="auto"/>
        <w:rPr>
          <w:sz w:val="24"/>
        </w:rPr>
      </w:pPr>
      <w:r>
        <w:rPr>
          <w:rFonts w:hint="eastAsia"/>
          <w:sz w:val="24"/>
        </w:rPr>
        <w:t xml:space="preserve">地址：         </w:t>
      </w:r>
      <w:r>
        <w:rPr>
          <w:rFonts w:hint="eastAsia"/>
          <w:sz w:val="24"/>
          <w:lang w:val="en-US" w:eastAsia="zh-CN"/>
        </w:rPr>
        <w:t xml:space="preserve">                           </w:t>
      </w:r>
      <w:r>
        <w:rPr>
          <w:rFonts w:hint="eastAsia"/>
          <w:sz w:val="24"/>
        </w:rPr>
        <w:t xml:space="preserve"> 地址：       </w:t>
      </w:r>
    </w:p>
    <w:p w14:paraId="70A1416D">
      <w:pPr>
        <w:spacing w:line="360" w:lineRule="auto"/>
        <w:rPr>
          <w:rFonts w:hint="eastAsia"/>
          <w:sz w:val="24"/>
        </w:rPr>
      </w:pPr>
      <w:r>
        <w:rPr>
          <w:rFonts w:hint="eastAsia"/>
          <w:sz w:val="24"/>
        </w:rPr>
        <w:t xml:space="preserve">电话：                     </w:t>
      </w:r>
      <w:r>
        <w:rPr>
          <w:rFonts w:hint="eastAsia"/>
          <w:sz w:val="24"/>
          <w:lang w:val="en-US" w:eastAsia="zh-CN"/>
        </w:rPr>
        <w:t xml:space="preserve">                </w:t>
      </w:r>
      <w:r>
        <w:rPr>
          <w:rFonts w:hint="eastAsia"/>
          <w:sz w:val="24"/>
        </w:rPr>
        <w:t>电话：</w:t>
      </w:r>
    </w:p>
    <w:p w14:paraId="354C0347">
      <w:pPr>
        <w:pStyle w:val="2"/>
        <w:rPr>
          <w:rFonts w:hint="default" w:eastAsia="宋体"/>
          <w:lang w:val="en-US" w:eastAsia="zh-CN"/>
        </w:rPr>
      </w:pPr>
      <w:r>
        <w:rPr>
          <w:rFonts w:hint="eastAsia"/>
          <w:sz w:val="24"/>
          <w:lang w:val="en-US" w:eastAsia="zh-CN"/>
        </w:rPr>
        <w:t xml:space="preserve">                                   </w:t>
      </w:r>
      <w:r>
        <w:rPr>
          <w:rFonts w:hint="eastAsia"/>
          <w:b/>
          <w:bCs/>
          <w:sz w:val="24"/>
          <w:lang w:val="en-US" w:eastAsia="zh-CN"/>
        </w:rPr>
        <w:t xml:space="preserve">   签订时间：</w:t>
      </w:r>
    </w:p>
    <w:p w14:paraId="5DFE1B77">
      <w:pPr>
        <w:pStyle w:val="4"/>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8AF0EE"/>
    <w:multiLevelType w:val="singleLevel"/>
    <w:tmpl w:val="F38AF0EE"/>
    <w:lvl w:ilvl="0" w:tentative="0">
      <w:start w:val="1"/>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2MDZjYmJlMDdkYTQ3MTEyN2Y4ZDNhYjFiYjJmZWYifQ=="/>
  </w:docVars>
  <w:rsids>
    <w:rsidRoot w:val="5BBC7FA5"/>
    <w:rsid w:val="00416146"/>
    <w:rsid w:val="00535E7A"/>
    <w:rsid w:val="017855AE"/>
    <w:rsid w:val="01903191"/>
    <w:rsid w:val="02301FCF"/>
    <w:rsid w:val="023501DA"/>
    <w:rsid w:val="03411FB9"/>
    <w:rsid w:val="085A3B8D"/>
    <w:rsid w:val="09A339CE"/>
    <w:rsid w:val="0B381EF4"/>
    <w:rsid w:val="11DD7ADE"/>
    <w:rsid w:val="16D64821"/>
    <w:rsid w:val="1E214A6A"/>
    <w:rsid w:val="1EAA2CB1"/>
    <w:rsid w:val="25A0096A"/>
    <w:rsid w:val="29493E5E"/>
    <w:rsid w:val="29C15A7E"/>
    <w:rsid w:val="2CAE1BBE"/>
    <w:rsid w:val="2F370591"/>
    <w:rsid w:val="31327262"/>
    <w:rsid w:val="341B5D8B"/>
    <w:rsid w:val="342D5ABF"/>
    <w:rsid w:val="348C32D1"/>
    <w:rsid w:val="41597CC1"/>
    <w:rsid w:val="42AA0BC4"/>
    <w:rsid w:val="4C887EDD"/>
    <w:rsid w:val="4D186EB4"/>
    <w:rsid w:val="4DDF5C24"/>
    <w:rsid w:val="514B3CFC"/>
    <w:rsid w:val="54907C05"/>
    <w:rsid w:val="58CA7BFC"/>
    <w:rsid w:val="5BA54009"/>
    <w:rsid w:val="5BB73D3C"/>
    <w:rsid w:val="5BBC7FA5"/>
    <w:rsid w:val="5E8413E2"/>
    <w:rsid w:val="631101D6"/>
    <w:rsid w:val="63247F09"/>
    <w:rsid w:val="64CA0F84"/>
    <w:rsid w:val="65D976D1"/>
    <w:rsid w:val="68354966"/>
    <w:rsid w:val="6A421FE5"/>
    <w:rsid w:val="6A9040D6"/>
    <w:rsid w:val="740F09F7"/>
    <w:rsid w:val="769767EC"/>
    <w:rsid w:val="78C22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tabs>
        <w:tab w:val="left" w:pos="567"/>
      </w:tabs>
      <w:spacing w:before="120" w:line="22" w:lineRule="atLeast"/>
    </w:pPr>
    <w:rPr>
      <w:rFonts w:ascii="宋体" w:hAnsi="宋体"/>
      <w:sz w:val="24"/>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toc 1"/>
    <w:basedOn w:val="1"/>
    <w:next w:val="1"/>
    <w:qFormat/>
    <w:uiPriority w:val="39"/>
    <w:pPr>
      <w:spacing w:before="120" w:after="120"/>
    </w:pPr>
    <w:rPr>
      <w:rFonts w:ascii="Calibri" w:hAnsi="Calibri" w:cs="Calibri"/>
      <w:b/>
      <w:caps/>
      <w:sz w:val="20"/>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1798</Words>
  <Characters>1813</Characters>
  <Lines>0</Lines>
  <Paragraphs>0</Paragraphs>
  <TotalTime>1</TotalTime>
  <ScaleCrop>false</ScaleCrop>
  <LinksUpToDate>false</LinksUpToDate>
  <CharactersWithSpaces>2258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2024-11-02T07:28:00Z</dcterms:created>
  <dc:creator>舍得</dc:creator>
  <cp:lastModifiedBy>Amor</cp:lastModifiedBy>
  <dcterms:modified xsi:type="dcterms:W3CDTF">2025-11-03T03:01:15Z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028CE6AE66D346D69F6472D45E1C6D36_13</vt:lpwstr>
  </property>
  <property fmtid="{D5CDD505-2E9C-101B-9397-08002B2CF9AE}" pid="4" name="KSOTemplateDocerSaveRecord">
    <vt:lpwstr>eyJoZGlkIjoiZmY2MDZjYmJlMDdkYTQ3MTEyN2Y4ZDNhYjFiYjJmZWYiLCJ1c2VySWQiOiIxMzA0NzQxMDMxIn0=</vt:lpwstr>
  </property>
</Properties>
</file>