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6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tbl>
      <w:tblPr>
        <w:tblStyle w:val="7"/>
        <w:tblpPr w:leftFromText="180" w:rightFromText="180" w:vertAnchor="text" w:horzAnchor="page" w:tblpX="1830" w:tblpY="653"/>
        <w:tblOverlap w:val="never"/>
        <w:tblW w:w="8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893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材料规格名称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固体净化剂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技术要求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供应商提供的货物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130吨固体净化剂（固体净化剂按国家标准《生活饮用水用聚氯化铝GB15892-2020》的要求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/>
    <w:p>
      <w:pPr>
        <w:pStyle w:val="2"/>
      </w:pPr>
    </w:p>
    <w:p>
      <w:pPr>
        <w:pStyle w:val="2"/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1761883"/>
    <w:rsid w:val="1556166E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F786788"/>
    <w:rsid w:val="3FFC1167"/>
    <w:rsid w:val="402B37FA"/>
    <w:rsid w:val="45244CBC"/>
    <w:rsid w:val="47416698"/>
    <w:rsid w:val="481B23A6"/>
    <w:rsid w:val="48B14AB8"/>
    <w:rsid w:val="4BAF3531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2024-03-06T06:47:57Z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FCF3C01C0003436F91AFC8D5B328E6D9_13</vt:lpwstr>
  </property>
</Properties>
</file>