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  <w:t>安徽安桐城乡发展集团有限公司主体信用评级财务审计服务项目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  <w:t>安徽安桐城乡发展集团有限公司主体信用评级财务审计服务项目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7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7"/>
          <w:sz w:val="28"/>
          <w:szCs w:val="28"/>
          <w:u w:val="single"/>
          <w:shd w:val="clear" w:color="auto" w:fill="FFFFFF"/>
          <w:lang w:eastAsia="zh-CN"/>
        </w:rPr>
        <w:t>安徽安桐城乡发展集团有限公司主体信用评级财务审计服务项目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资质、资格证书（复印件）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5、总所的授权书原件（如果投标人是分所时提供）。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证明（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7、其他（若有）。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安徽安桐城乡发展集团有限公司主体信用评级财务审计服务项目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技术部分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9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7"/>
          <w:sz w:val="28"/>
          <w:szCs w:val="28"/>
          <w:u w:val="single"/>
          <w:shd w:val="clear" w:color="auto" w:fill="FFFFFF"/>
          <w:lang w:eastAsia="zh-CN"/>
        </w:rPr>
        <w:t>安徽安桐城乡发展集团有限公司主体信用评级财务审计服务项目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技术部分投标文件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1、技术评分部分要求提供的材料；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安徽安桐城乡发展集团有限公司主体信用评级财务审计服务项目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7"/>
          <w:sz w:val="28"/>
          <w:szCs w:val="28"/>
          <w:u w:val="single"/>
          <w:shd w:val="clear" w:color="auto" w:fill="FFFFFF"/>
          <w:lang w:eastAsia="zh-CN"/>
        </w:rPr>
        <w:t>安徽安桐城乡发展集团有限公司主体信用评级财务审计服务项目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提供所需的服务等所有内容，投标报价为人民币（大写）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     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YTg3MDgzNjdkNGEzNjNmYmU2ZWEwNTQxZTg5YzQifQ=="/>
  </w:docVars>
  <w:rsids>
    <w:rsidRoot w:val="23A34863"/>
    <w:rsid w:val="23A3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风雨同行</cp:lastModifiedBy>
  <dcterms:modified xsi:type="dcterms:W3CDTF">2023-05-12T07:54:21Z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A6C75A762AF14D4B94507FA6DA522FD3_11</vt:lpwstr>
  </property>
</Properties>
</file>